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41E44">
      <w:pPr>
        <w:spacing w:line="305" w:lineRule="auto"/>
        <w:rPr>
          <w:rFonts w:ascii="Arial"/>
          <w:sz w:val="21"/>
        </w:rPr>
      </w:pPr>
    </w:p>
    <w:p w14:paraId="7E51E57D">
      <w:pPr>
        <w:pStyle w:val="2"/>
        <w:spacing w:before="89" w:line="348" w:lineRule="auto"/>
        <w:ind w:left="4" w:right="4527"/>
        <w:rPr>
          <w:sz w:val="30"/>
          <w:szCs w:val="30"/>
        </w:rPr>
      </w:pPr>
      <w:r>
        <w:rPr>
          <w:rFonts w:hint="eastAsia" w:ascii="Arial"/>
          <w:b/>
          <w:bCs/>
          <w:sz w:val="48"/>
          <w:szCs w:val="48"/>
          <w:lang w:val="en-US" w:eastAsia="zh-CN"/>
        </w:rPr>
        <w:t>GF1214</w:t>
      </w:r>
      <w:r>
        <w:rPr>
          <w:b/>
          <w:bCs/>
          <w:spacing w:val="-5"/>
          <w:sz w:val="30"/>
          <w:szCs w:val="30"/>
        </w:rPr>
        <w:t>产品简介</w:t>
      </w:r>
      <w:bookmarkStart w:id="0" w:name="_GoBack"/>
      <w:bookmarkEnd w:id="0"/>
    </w:p>
    <w:p w14:paraId="5F92D756">
      <w:pPr>
        <w:pStyle w:val="2"/>
        <w:spacing w:before="1" w:line="312" w:lineRule="auto"/>
        <w:ind w:right="312" w:firstLine="439"/>
        <w:jc w:val="both"/>
      </w:pPr>
      <w:r>
        <w:rPr>
          <w:rFonts w:hint="eastAsia" w:ascii="宋体" w:hAnsi="宋体" w:eastAsia="宋体" w:cs="宋体"/>
          <w:lang w:val="en-US" w:eastAsia="zh-CN"/>
        </w:rPr>
        <w:t>GF1214</w:t>
      </w:r>
      <w:r>
        <w:rPr>
          <w:rFonts w:ascii="宋体" w:hAnsi="宋体" w:eastAsia="宋体" w:cs="宋体"/>
          <w:spacing w:val="4"/>
        </w:rPr>
        <w:t xml:space="preserve"> </w:t>
      </w:r>
      <w:r>
        <w:rPr>
          <w:spacing w:val="4"/>
        </w:rPr>
        <w:t xml:space="preserve">是由极高分子量硅氧烷聚合物分散在环甲基硅氧烷中的混 </w:t>
      </w:r>
      <w:r>
        <w:rPr>
          <w:spacing w:val="3"/>
        </w:rPr>
        <w:t>合物。其中环甲基硅氧烷作为载体，使高分子量硅氧烷聚</w:t>
      </w:r>
      <w:r>
        <w:rPr>
          <w:spacing w:val="2"/>
        </w:rPr>
        <w:t>合物均匀地铺展在表面</w:t>
      </w:r>
      <w:r>
        <w:t xml:space="preserve"> </w:t>
      </w:r>
      <w:r>
        <w:rPr>
          <w:spacing w:val="3"/>
        </w:rPr>
        <w:t>上，然后环甲基硅氧烷挥发，留下有机硅薄膜。本品为个人</w:t>
      </w:r>
      <w:r>
        <w:rPr>
          <w:spacing w:val="2"/>
        </w:rPr>
        <w:t>护理用品提供了许多</w:t>
      </w:r>
      <w:r>
        <w:t xml:space="preserve"> </w:t>
      </w:r>
      <w:r>
        <w:rPr>
          <w:spacing w:val="-2"/>
        </w:rPr>
        <w:t>特效性能，尤其是独特的光滑、柔软、清爽</w:t>
      </w:r>
      <w:r>
        <w:rPr>
          <w:spacing w:val="-3"/>
        </w:rPr>
        <w:t>不油腻的感觉。</w:t>
      </w:r>
    </w:p>
    <w:p w14:paraId="747486C7">
      <w:pPr>
        <w:spacing w:line="241" w:lineRule="auto"/>
        <w:rPr>
          <w:rFonts w:ascii="Arial"/>
          <w:sz w:val="21"/>
        </w:rPr>
      </w:pPr>
    </w:p>
    <w:p w14:paraId="4066F420">
      <w:pPr>
        <w:pStyle w:val="2"/>
        <w:spacing w:before="97" w:line="222" w:lineRule="auto"/>
        <w:rPr>
          <w:sz w:val="30"/>
          <w:szCs w:val="30"/>
        </w:rPr>
      </w:pPr>
      <w:r>
        <w:rPr>
          <w:rFonts w:ascii="Arial" w:hAnsi="Arial" w:eastAsia="Arial" w:cs="Arial"/>
          <w:b/>
          <w:bCs/>
          <w:spacing w:val="-8"/>
          <w:sz w:val="30"/>
          <w:szCs w:val="30"/>
        </w:rPr>
        <w:t xml:space="preserve">INCI </w:t>
      </w:r>
      <w:r>
        <w:rPr>
          <w:b/>
          <w:bCs/>
          <w:spacing w:val="-8"/>
          <w:sz w:val="30"/>
          <w:szCs w:val="30"/>
        </w:rPr>
        <w:t>名</w:t>
      </w:r>
      <w:r>
        <w:rPr>
          <w:spacing w:val="-14"/>
          <w:sz w:val="30"/>
          <w:szCs w:val="30"/>
        </w:rPr>
        <w:t xml:space="preserve"> </w:t>
      </w:r>
      <w:r>
        <w:rPr>
          <w:b/>
          <w:bCs/>
          <w:spacing w:val="-8"/>
          <w:sz w:val="30"/>
          <w:szCs w:val="30"/>
        </w:rPr>
        <w:t>：</w:t>
      </w:r>
    </w:p>
    <w:p w14:paraId="336782E5">
      <w:pPr>
        <w:pStyle w:val="2"/>
        <w:spacing w:before="118" w:line="220" w:lineRule="auto"/>
        <w:ind w:left="379"/>
      </w:pPr>
      <w:r>
        <w:rPr>
          <w:spacing w:val="12"/>
        </w:rPr>
        <w:t>聚二甲基硅氧烷(及)环五聚二甲基硅氧烷</w:t>
      </w:r>
    </w:p>
    <w:p w14:paraId="1BBAE6AB">
      <w:pPr>
        <w:spacing w:before="59" w:line="198" w:lineRule="auto"/>
        <w:ind w:left="389"/>
        <w:rPr>
          <w:rFonts w:ascii="Arial" w:hAnsi="Arial" w:eastAsia="Arial" w:cs="Arial"/>
          <w:sz w:val="24"/>
          <w:szCs w:val="24"/>
        </w:rPr>
      </w:pPr>
      <w:r>
        <w:rPr>
          <w:rFonts w:ascii="Arial" w:hAnsi="Arial" w:eastAsia="Arial" w:cs="Arial"/>
          <w:spacing w:val="-1"/>
          <w:sz w:val="24"/>
          <w:szCs w:val="24"/>
        </w:rPr>
        <w:t>DIMETHICONE  (AND)CYCLOPENTASILOXANE</w:t>
      </w:r>
    </w:p>
    <w:p w14:paraId="216642F7">
      <w:pPr>
        <w:spacing w:line="336" w:lineRule="auto"/>
        <w:rPr>
          <w:rFonts w:ascii="Arial"/>
          <w:sz w:val="21"/>
        </w:rPr>
      </w:pPr>
    </w:p>
    <w:p w14:paraId="366B98CA">
      <w:pPr>
        <w:pStyle w:val="2"/>
        <w:spacing w:before="98" w:line="222" w:lineRule="auto"/>
        <w:ind w:left="4"/>
        <w:rPr>
          <w:sz w:val="30"/>
          <w:szCs w:val="30"/>
        </w:rPr>
      </w:pPr>
      <w:r>
        <w:rPr>
          <w:b/>
          <w:bCs/>
          <w:spacing w:val="-5"/>
          <w:sz w:val="30"/>
          <w:szCs w:val="30"/>
        </w:rPr>
        <w:t>产品特性</w:t>
      </w:r>
    </w:p>
    <w:p w14:paraId="52F0AA68">
      <w:pPr>
        <w:pStyle w:val="2"/>
        <w:spacing w:before="121" w:line="221" w:lineRule="auto"/>
      </w:pPr>
      <w:r>
        <w:rPr>
          <w:spacing w:val="4"/>
        </w:rPr>
        <w:t>头发护理品</w:t>
      </w:r>
    </w:p>
    <w:p w14:paraId="4E761964">
      <w:pPr>
        <w:pStyle w:val="2"/>
        <w:spacing w:before="111" w:line="313" w:lineRule="auto"/>
        <w:ind w:right="179"/>
      </w:pPr>
      <w:r>
        <w:rPr>
          <w:spacing w:val="3"/>
        </w:rPr>
        <w:t>&gt;为头发提供优异的干、湿梳理性，改善头发的光泽、柔软度，使头发更易打理；</w:t>
      </w:r>
      <w:r>
        <w:rPr>
          <w:spacing w:val="1"/>
        </w:rPr>
        <w:t xml:space="preserve"> </w:t>
      </w:r>
      <w:r>
        <w:rPr>
          <w:spacing w:val="14"/>
        </w:rPr>
        <w:t>&gt;具有独特的、极好的柔滑、干爽如丝的感觉；</w:t>
      </w:r>
    </w:p>
    <w:p w14:paraId="42AB2E7D">
      <w:pPr>
        <w:pStyle w:val="2"/>
        <w:spacing w:before="7" w:line="213" w:lineRule="auto"/>
      </w:pPr>
      <w:r>
        <w:rPr>
          <w:spacing w:val="37"/>
        </w:rPr>
        <w:t>&gt;增加产品的光泽和质感；</w:t>
      </w:r>
    </w:p>
    <w:p w14:paraId="32A79FAA">
      <w:pPr>
        <w:pStyle w:val="2"/>
        <w:spacing w:before="134" w:line="213" w:lineRule="auto"/>
      </w:pPr>
      <w:r>
        <w:rPr>
          <w:spacing w:val="18"/>
        </w:rPr>
        <w:t>&gt;优异的涂抹性，吸附性，调理性</w:t>
      </w:r>
    </w:p>
    <w:p w14:paraId="06850C0B">
      <w:pPr>
        <w:spacing w:line="353" w:lineRule="auto"/>
        <w:rPr>
          <w:rFonts w:ascii="Arial"/>
          <w:sz w:val="21"/>
        </w:rPr>
      </w:pPr>
    </w:p>
    <w:p w14:paraId="13841205">
      <w:pPr>
        <w:pStyle w:val="2"/>
        <w:spacing w:before="78" w:line="221" w:lineRule="auto"/>
      </w:pPr>
      <w:r>
        <w:rPr>
          <w:spacing w:val="4"/>
        </w:rPr>
        <w:t>皮肤护理品</w:t>
      </w:r>
    </w:p>
    <w:p w14:paraId="27957643">
      <w:pPr>
        <w:pStyle w:val="2"/>
        <w:spacing w:before="112" w:line="213" w:lineRule="auto"/>
      </w:pPr>
      <w:r>
        <w:rPr>
          <w:spacing w:val="16"/>
        </w:rPr>
        <w:t>&gt;赋予光滑的、柔软的、爽而不腻的感觉；</w:t>
      </w:r>
    </w:p>
    <w:p w14:paraId="48157F62">
      <w:pPr>
        <w:pStyle w:val="2"/>
        <w:spacing w:before="133" w:line="213" w:lineRule="auto"/>
      </w:pPr>
      <w:r>
        <w:rPr>
          <w:spacing w:val="33"/>
        </w:rPr>
        <w:t>&gt;产生持久的薄膜；</w:t>
      </w:r>
    </w:p>
    <w:p w14:paraId="095ED67D">
      <w:pPr>
        <w:pStyle w:val="2"/>
        <w:spacing w:before="144" w:line="222" w:lineRule="auto"/>
      </w:pPr>
      <w:r>
        <w:rPr>
          <w:spacing w:val="23"/>
        </w:rPr>
        <w:t>&gt;改善铺展性和涂抹渗入性</w:t>
      </w:r>
    </w:p>
    <w:p w14:paraId="2C0E02BD">
      <w:pPr>
        <w:spacing w:line="319" w:lineRule="auto"/>
        <w:rPr>
          <w:rFonts w:ascii="Arial"/>
          <w:sz w:val="21"/>
        </w:rPr>
      </w:pPr>
    </w:p>
    <w:p w14:paraId="5756D768">
      <w:pPr>
        <w:pStyle w:val="2"/>
        <w:spacing w:before="98" w:line="222" w:lineRule="auto"/>
        <w:ind w:left="4"/>
        <w:rPr>
          <w:sz w:val="30"/>
          <w:szCs w:val="30"/>
        </w:rPr>
      </w:pPr>
      <w:r>
        <w:rPr>
          <w:b/>
          <w:bCs/>
          <w:spacing w:val="-6"/>
          <w:sz w:val="30"/>
          <w:szCs w:val="30"/>
        </w:rPr>
        <w:t>物理特性</w:t>
      </w:r>
    </w:p>
    <w:p w14:paraId="1225E3B5">
      <w:pPr>
        <w:spacing w:line="19" w:lineRule="exact"/>
      </w:pPr>
    </w:p>
    <w:tbl>
      <w:tblPr>
        <w:tblStyle w:val="7"/>
        <w:tblW w:w="8140" w:type="dxa"/>
        <w:tblInd w:w="3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52"/>
        <w:gridCol w:w="5488"/>
      </w:tblGrid>
      <w:tr w14:paraId="0F481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652" w:type="dxa"/>
            <w:vAlign w:val="top"/>
          </w:tcPr>
          <w:p w14:paraId="56361CB5">
            <w:pPr>
              <w:spacing w:before="86" w:line="220" w:lineRule="auto"/>
              <w:ind w:left="504"/>
              <w:rPr>
                <w:rFonts w:ascii="宋体" w:hAnsi="宋体" w:eastAsia="宋体" w:cs="宋体"/>
                <w:sz w:val="26"/>
                <w:szCs w:val="26"/>
              </w:rPr>
            </w:pPr>
            <w:r>
              <w:rPr>
                <w:rFonts w:ascii="宋体" w:hAnsi="宋体" w:eastAsia="宋体" w:cs="宋体"/>
                <w:spacing w:val="6"/>
                <w:sz w:val="26"/>
                <w:szCs w:val="26"/>
              </w:rPr>
              <w:t>外观</w:t>
            </w:r>
          </w:p>
        </w:tc>
        <w:tc>
          <w:tcPr>
            <w:tcW w:w="5488" w:type="dxa"/>
            <w:vAlign w:val="top"/>
          </w:tcPr>
          <w:p w14:paraId="2F2C3986">
            <w:pPr>
              <w:spacing w:before="85" w:line="219" w:lineRule="auto"/>
              <w:ind w:left="1693"/>
              <w:rPr>
                <w:rFonts w:ascii="宋体" w:hAnsi="宋体" w:eastAsia="宋体" w:cs="宋体"/>
                <w:sz w:val="26"/>
                <w:szCs w:val="26"/>
              </w:rPr>
            </w:pPr>
            <w:r>
              <w:rPr>
                <w:rFonts w:ascii="宋体" w:hAnsi="宋体" w:eastAsia="宋体" w:cs="宋体"/>
                <w:spacing w:val="1"/>
                <w:sz w:val="26"/>
                <w:szCs w:val="26"/>
              </w:rPr>
              <w:t>无色透明粘稠液体</w:t>
            </w:r>
          </w:p>
        </w:tc>
      </w:tr>
      <w:tr w14:paraId="6AF2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52" w:type="dxa"/>
            <w:vAlign w:val="top"/>
          </w:tcPr>
          <w:p w14:paraId="26FA55DC">
            <w:pPr>
              <w:spacing w:before="74" w:line="220" w:lineRule="auto"/>
              <w:ind w:left="504"/>
              <w:rPr>
                <w:rFonts w:ascii="宋体" w:hAnsi="宋体" w:eastAsia="宋体" w:cs="宋体"/>
                <w:sz w:val="26"/>
                <w:szCs w:val="26"/>
              </w:rPr>
            </w:pPr>
            <w:r>
              <w:rPr>
                <w:rFonts w:ascii="宋体" w:hAnsi="宋体" w:eastAsia="宋体" w:cs="宋体"/>
                <w:spacing w:val="5"/>
                <w:sz w:val="26"/>
                <w:szCs w:val="26"/>
              </w:rPr>
              <w:t>气味</w:t>
            </w:r>
          </w:p>
        </w:tc>
        <w:tc>
          <w:tcPr>
            <w:tcW w:w="5488" w:type="dxa"/>
            <w:vAlign w:val="top"/>
          </w:tcPr>
          <w:p w14:paraId="22C19C97">
            <w:pPr>
              <w:spacing w:before="73" w:line="219" w:lineRule="auto"/>
              <w:ind w:left="2342"/>
              <w:rPr>
                <w:rFonts w:ascii="宋体" w:hAnsi="宋体" w:eastAsia="宋体" w:cs="宋体"/>
                <w:sz w:val="26"/>
                <w:szCs w:val="26"/>
              </w:rPr>
            </w:pPr>
            <w:r>
              <w:rPr>
                <w:rFonts w:ascii="宋体" w:hAnsi="宋体" w:eastAsia="宋体" w:cs="宋体"/>
                <w:spacing w:val="3"/>
                <w:sz w:val="26"/>
                <w:szCs w:val="26"/>
              </w:rPr>
              <w:t>无异味</w:t>
            </w:r>
          </w:p>
        </w:tc>
      </w:tr>
      <w:tr w14:paraId="3D8EF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2652" w:type="dxa"/>
            <w:vAlign w:val="top"/>
          </w:tcPr>
          <w:p w14:paraId="6A489688">
            <w:pPr>
              <w:spacing w:before="86" w:line="219" w:lineRule="auto"/>
              <w:ind w:left="504"/>
              <w:rPr>
                <w:rFonts w:ascii="宋体" w:hAnsi="宋体" w:eastAsia="宋体" w:cs="宋体"/>
                <w:sz w:val="26"/>
                <w:szCs w:val="26"/>
              </w:rPr>
            </w:pPr>
            <w:r>
              <w:rPr>
                <w:rFonts w:ascii="宋体" w:hAnsi="宋体" w:eastAsia="宋体" w:cs="宋体"/>
                <w:spacing w:val="8"/>
                <w:sz w:val="26"/>
                <w:szCs w:val="26"/>
              </w:rPr>
              <w:t>粘度(25℃)</w:t>
            </w:r>
          </w:p>
        </w:tc>
        <w:tc>
          <w:tcPr>
            <w:tcW w:w="5488" w:type="dxa"/>
            <w:vAlign w:val="top"/>
          </w:tcPr>
          <w:p w14:paraId="49266CE2">
            <w:pPr>
              <w:spacing w:before="83" w:line="216" w:lineRule="auto"/>
              <w:ind w:left="1372"/>
              <w:rPr>
                <w:rFonts w:ascii="宋体" w:hAnsi="宋体" w:eastAsia="宋体" w:cs="宋体"/>
                <w:sz w:val="26"/>
                <w:szCs w:val="26"/>
              </w:rPr>
            </w:pPr>
            <w:r>
              <w:rPr>
                <w:rFonts w:ascii="宋体" w:hAnsi="宋体" w:eastAsia="宋体" w:cs="宋体"/>
                <w:spacing w:val="-1"/>
                <w:sz w:val="26"/>
                <w:szCs w:val="26"/>
              </w:rPr>
              <w:t>5,000~~8,000cP(mPa.s)</w:t>
            </w:r>
          </w:p>
        </w:tc>
      </w:tr>
      <w:tr w14:paraId="0EC71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652" w:type="dxa"/>
            <w:vAlign w:val="top"/>
          </w:tcPr>
          <w:p w14:paraId="262337E9">
            <w:pPr>
              <w:spacing w:before="87" w:line="219" w:lineRule="auto"/>
              <w:ind w:left="524"/>
              <w:rPr>
                <w:rFonts w:ascii="宋体" w:hAnsi="宋体" w:eastAsia="宋体" w:cs="宋体"/>
                <w:sz w:val="26"/>
                <w:szCs w:val="26"/>
              </w:rPr>
            </w:pPr>
            <w:r>
              <w:rPr>
                <w:rFonts w:ascii="宋体" w:hAnsi="宋体" w:eastAsia="宋体" w:cs="宋体"/>
                <w:spacing w:val="7"/>
                <w:sz w:val="26"/>
                <w:szCs w:val="26"/>
              </w:rPr>
              <w:t>有机硅含量(%)</w:t>
            </w:r>
          </w:p>
        </w:tc>
        <w:tc>
          <w:tcPr>
            <w:tcW w:w="5488" w:type="dxa"/>
            <w:vAlign w:val="top"/>
          </w:tcPr>
          <w:p w14:paraId="60A8B741">
            <w:pPr>
              <w:spacing w:before="114" w:line="211" w:lineRule="auto"/>
              <w:ind w:left="2542"/>
              <w:rPr>
                <w:rFonts w:ascii="宋体" w:hAnsi="宋体" w:eastAsia="宋体" w:cs="宋体"/>
                <w:sz w:val="26"/>
                <w:szCs w:val="26"/>
              </w:rPr>
            </w:pPr>
            <w:r>
              <w:rPr>
                <w:rFonts w:ascii="宋体" w:hAnsi="宋体" w:eastAsia="宋体" w:cs="宋体"/>
                <w:spacing w:val="-7"/>
                <w:sz w:val="26"/>
                <w:szCs w:val="26"/>
              </w:rPr>
              <w:t>100</w:t>
            </w:r>
          </w:p>
        </w:tc>
      </w:tr>
    </w:tbl>
    <w:p w14:paraId="6AE4ACDE">
      <w:pPr>
        <w:spacing w:line="324" w:lineRule="auto"/>
        <w:rPr>
          <w:rFonts w:ascii="Arial"/>
          <w:sz w:val="21"/>
        </w:rPr>
      </w:pPr>
    </w:p>
    <w:p w14:paraId="6A13C03B">
      <w:pPr>
        <w:pStyle w:val="2"/>
        <w:spacing w:before="98" w:line="223" w:lineRule="auto"/>
        <w:ind w:left="4"/>
        <w:rPr>
          <w:sz w:val="30"/>
          <w:szCs w:val="30"/>
        </w:rPr>
      </w:pPr>
      <w:r>
        <w:rPr>
          <w:b/>
          <w:bCs/>
          <w:spacing w:val="5"/>
          <w:sz w:val="30"/>
          <w:szCs w:val="30"/>
        </w:rPr>
        <w:t>产品应用</w:t>
      </w:r>
    </w:p>
    <w:p w14:paraId="04F80D8F">
      <w:pPr>
        <w:pStyle w:val="2"/>
        <w:spacing w:before="156" w:line="221" w:lineRule="auto"/>
        <w:ind w:left="439"/>
      </w:pPr>
      <w:r>
        <w:rPr>
          <w:spacing w:val="22"/>
        </w:rPr>
        <w:t>●</w:t>
      </w:r>
      <w:r>
        <w:rPr>
          <w:spacing w:val="-60"/>
        </w:rPr>
        <w:t xml:space="preserve"> </w:t>
      </w:r>
      <w:r>
        <w:rPr>
          <w:spacing w:val="22"/>
        </w:rPr>
        <w:t>头发凝胶</w:t>
      </w:r>
    </w:p>
    <w:p w14:paraId="29374EF9">
      <w:pPr>
        <w:pStyle w:val="2"/>
        <w:spacing w:before="133" w:line="221" w:lineRule="auto"/>
        <w:ind w:left="439"/>
      </w:pPr>
      <w:r>
        <w:rPr>
          <w:spacing w:val="-10"/>
        </w:rPr>
        <w:t>●</w:t>
      </w:r>
      <w:r>
        <w:rPr>
          <w:spacing w:val="8"/>
        </w:rPr>
        <w:t xml:space="preserve">  </w:t>
      </w:r>
      <w:r>
        <w:rPr>
          <w:spacing w:val="-10"/>
        </w:rPr>
        <w:t>护发素、焗油膏</w:t>
      </w:r>
    </w:p>
    <w:p w14:paraId="43B23D95">
      <w:pPr>
        <w:pStyle w:val="2"/>
        <w:spacing w:before="112" w:line="221" w:lineRule="auto"/>
        <w:ind w:left="439"/>
      </w:pPr>
      <w:r>
        <w:rPr>
          <w:spacing w:val="20"/>
        </w:rPr>
        <w:t>●护肤膏霜、乳液</w:t>
      </w:r>
    </w:p>
    <w:p w14:paraId="1FD4B08B">
      <w:pPr>
        <w:spacing w:line="427" w:lineRule="auto"/>
        <w:rPr>
          <w:rFonts w:ascii="Arial"/>
          <w:sz w:val="21"/>
        </w:rPr>
      </w:pPr>
    </w:p>
    <w:p w14:paraId="13188078">
      <w:pPr>
        <w:spacing w:before="53" w:line="188" w:lineRule="auto"/>
        <w:ind w:left="8389"/>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p w14:paraId="09FCB5A3">
      <w:pPr>
        <w:spacing w:line="198" w:lineRule="auto"/>
        <w:rPr>
          <w:rFonts w:ascii="Arial" w:hAnsi="Arial" w:eastAsia="Arial" w:cs="Arial"/>
          <w:sz w:val="18"/>
          <w:szCs w:val="18"/>
        </w:rPr>
        <w:sectPr>
          <w:pgSz w:w="11910" w:h="16840"/>
          <w:pgMar w:top="479" w:right="1420" w:bottom="0" w:left="1680" w:header="0" w:footer="0" w:gutter="0"/>
          <w:cols w:space="720" w:num="1"/>
        </w:sectPr>
      </w:pPr>
    </w:p>
    <w:p w14:paraId="1070B596">
      <w:pPr>
        <w:spacing w:line="323" w:lineRule="auto"/>
        <w:rPr>
          <w:rFonts w:ascii="Arial"/>
          <w:sz w:val="21"/>
        </w:rPr>
      </w:pPr>
    </w:p>
    <w:p w14:paraId="6259D760">
      <w:pPr>
        <w:spacing w:line="323" w:lineRule="auto"/>
        <w:rPr>
          <w:rFonts w:ascii="Arial"/>
          <w:sz w:val="21"/>
        </w:rPr>
      </w:pPr>
    </w:p>
    <w:p w14:paraId="637A391C">
      <w:pPr>
        <w:spacing w:before="130" w:line="215" w:lineRule="auto"/>
        <w:ind w:left="159"/>
        <w:rPr>
          <w:rFonts w:ascii="宋体" w:hAnsi="宋体" w:eastAsia="宋体" w:cs="宋体"/>
          <w:sz w:val="34"/>
          <w:szCs w:val="34"/>
        </w:rPr>
      </w:pPr>
      <w:r>
        <w:rPr>
          <w:rFonts w:hint="eastAsia" w:eastAsia="宋体" w:cs="Arial"/>
          <w:b/>
          <w:bCs/>
          <w:spacing w:val="-2"/>
          <w:sz w:val="34"/>
          <w:szCs w:val="34"/>
          <w:lang w:val="en-US" w:eastAsia="zh-CN"/>
        </w:rPr>
        <w:t>GF1214</w:t>
      </w:r>
      <w:r>
        <w:rPr>
          <w:rFonts w:ascii="宋体" w:hAnsi="宋体" w:eastAsia="宋体" w:cs="宋体"/>
          <w:spacing w:val="170"/>
          <w:sz w:val="34"/>
          <w:szCs w:val="34"/>
        </w:rPr>
        <w:t xml:space="preserve"> </w:t>
      </w:r>
      <w:r>
        <w:rPr>
          <w:rFonts w:ascii="宋体" w:hAnsi="宋体" w:eastAsia="宋体" w:cs="宋体"/>
          <w:b/>
          <w:bCs/>
          <w:spacing w:val="-1"/>
          <w:sz w:val="34"/>
          <w:szCs w:val="34"/>
        </w:rPr>
        <w:t>硅油共混物</w:t>
      </w:r>
    </w:p>
    <w:p w14:paraId="0190F770">
      <w:pPr>
        <w:pStyle w:val="2"/>
        <w:spacing w:before="300" w:line="220" w:lineRule="auto"/>
        <w:ind w:left="565"/>
      </w:pPr>
      <w:r>
        <w:rPr>
          <w:spacing w:val="-13"/>
        </w:rPr>
        <w:t>●</w:t>
      </w:r>
      <w:r>
        <w:rPr>
          <w:spacing w:val="24"/>
        </w:rPr>
        <w:t xml:space="preserve">  </w:t>
      </w:r>
      <w:r>
        <w:rPr>
          <w:spacing w:val="-13"/>
        </w:rPr>
        <w:t>粉底霜、粉底乳液</w:t>
      </w:r>
    </w:p>
    <w:p w14:paraId="6DE96D12">
      <w:pPr>
        <w:pStyle w:val="2"/>
        <w:spacing w:before="124" w:line="221" w:lineRule="auto"/>
        <w:ind w:left="565"/>
      </w:pPr>
      <w:r>
        <w:rPr>
          <w:spacing w:val="20"/>
        </w:rPr>
        <w:t>●防晒霜、防晒乳液</w:t>
      </w:r>
    </w:p>
    <w:p w14:paraId="62903B87">
      <w:pPr>
        <w:spacing w:line="330" w:lineRule="auto"/>
        <w:rPr>
          <w:rFonts w:ascii="Arial"/>
          <w:sz w:val="21"/>
        </w:rPr>
      </w:pPr>
    </w:p>
    <w:p w14:paraId="679855C6">
      <w:pPr>
        <w:pStyle w:val="2"/>
        <w:spacing w:before="98" w:line="221" w:lineRule="auto"/>
        <w:ind w:left="159"/>
        <w:rPr>
          <w:sz w:val="30"/>
          <w:szCs w:val="30"/>
        </w:rPr>
      </w:pPr>
      <w:r>
        <w:rPr>
          <w:b/>
          <w:bCs/>
          <w:spacing w:val="-6"/>
          <w:sz w:val="30"/>
          <w:szCs w:val="30"/>
        </w:rPr>
        <w:t>使用方法</w:t>
      </w:r>
    </w:p>
    <w:p w14:paraId="23EAC265">
      <w:pPr>
        <w:pStyle w:val="2"/>
        <w:spacing w:before="113" w:line="213" w:lineRule="auto"/>
        <w:ind w:left="75"/>
      </w:pPr>
      <w:r>
        <w:rPr>
          <w:rFonts w:ascii="宋体" w:hAnsi="宋体" w:eastAsia="宋体" w:cs="宋体"/>
          <w:spacing w:val="12"/>
        </w:rPr>
        <w:t xml:space="preserve">1、 </w:t>
      </w:r>
      <w:r>
        <w:rPr>
          <w:spacing w:val="12"/>
        </w:rPr>
        <w:t>与基它硅油(如：挥发性硅油、低粘二甲基硅油)混合，以降低粘度；</w:t>
      </w:r>
    </w:p>
    <w:p w14:paraId="3B995754">
      <w:pPr>
        <w:pStyle w:val="2"/>
        <w:spacing w:before="156" w:line="222" w:lineRule="auto"/>
        <w:ind w:left="45"/>
      </w:pPr>
      <w:r>
        <w:rPr>
          <w:rFonts w:ascii="宋体" w:hAnsi="宋体" w:eastAsia="宋体" w:cs="宋体"/>
          <w:spacing w:val="-4"/>
        </w:rPr>
        <w:t>2、</w:t>
      </w:r>
      <w:r>
        <w:rPr>
          <w:rFonts w:ascii="宋体" w:hAnsi="宋体" w:eastAsia="宋体" w:cs="宋体"/>
          <w:spacing w:val="52"/>
        </w:rPr>
        <w:t xml:space="preserve"> </w:t>
      </w:r>
      <w:r>
        <w:rPr>
          <w:spacing w:val="-4"/>
        </w:rPr>
        <w:t>避免高温加热硅油相。</w:t>
      </w:r>
    </w:p>
    <w:p w14:paraId="2FFAA8F0">
      <w:pPr>
        <w:spacing w:before="170"/>
      </w:pPr>
    </w:p>
    <w:tbl>
      <w:tblPr>
        <w:tblStyle w:val="7"/>
        <w:tblW w:w="8800" w:type="dxa"/>
        <w:tblInd w:w="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527"/>
        <w:gridCol w:w="2762"/>
        <w:gridCol w:w="3511"/>
      </w:tblGrid>
      <w:tr w14:paraId="738F834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80" w:hRule="atLeast"/>
        </w:trPr>
        <w:tc>
          <w:tcPr>
            <w:tcW w:w="5289" w:type="dxa"/>
            <w:gridSpan w:val="2"/>
            <w:tcBorders>
              <w:left w:val="single" w:color="000000" w:sz="4" w:space="0"/>
              <w:bottom w:val="single" w:color="000000" w:sz="4" w:space="0"/>
            </w:tcBorders>
            <w:vAlign w:val="top"/>
          </w:tcPr>
          <w:p w14:paraId="298E5577">
            <w:pPr>
              <w:pStyle w:val="8"/>
              <w:spacing w:before="17" w:line="220" w:lineRule="auto"/>
              <w:ind w:left="168"/>
            </w:pPr>
            <w:r>
              <w:rPr>
                <w:b/>
                <w:bCs/>
                <w:spacing w:val="-5"/>
              </w:rPr>
              <w:t>溶解性能表</w:t>
            </w:r>
          </w:p>
          <w:p w14:paraId="6577A443">
            <w:pPr>
              <w:pStyle w:val="8"/>
              <w:spacing w:before="183" w:line="200" w:lineRule="auto"/>
              <w:ind w:left="165"/>
            </w:pPr>
            <w:r>
              <w:rPr>
                <w:spacing w:val="4"/>
              </w:rPr>
              <w:t>材料类型/物质</w:t>
            </w:r>
          </w:p>
        </w:tc>
        <w:tc>
          <w:tcPr>
            <w:tcW w:w="3511" w:type="dxa"/>
            <w:tcBorders>
              <w:bottom w:val="single" w:color="000000" w:sz="4" w:space="0"/>
              <w:right w:val="single" w:color="000000" w:sz="4" w:space="0"/>
            </w:tcBorders>
            <w:vAlign w:val="top"/>
          </w:tcPr>
          <w:p w14:paraId="274A8AAE">
            <w:pPr>
              <w:spacing w:line="419" w:lineRule="auto"/>
              <w:rPr>
                <w:rFonts w:ascii="Arial"/>
                <w:sz w:val="21"/>
              </w:rPr>
            </w:pPr>
          </w:p>
          <w:p w14:paraId="454D5DE7">
            <w:pPr>
              <w:pStyle w:val="8"/>
              <w:spacing w:before="81" w:line="184" w:lineRule="auto"/>
              <w:ind w:left="920"/>
            </w:pPr>
            <w:r>
              <w:rPr>
                <w:spacing w:val="-2"/>
              </w:rPr>
              <w:t>SR132</w:t>
            </w:r>
          </w:p>
        </w:tc>
      </w:tr>
      <w:tr w14:paraId="718AA36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0" w:hRule="atLeast"/>
        </w:trPr>
        <w:tc>
          <w:tcPr>
            <w:tcW w:w="2527" w:type="dxa"/>
            <w:tcBorders>
              <w:top w:val="single" w:color="000000" w:sz="4" w:space="0"/>
              <w:left w:val="single" w:color="000000" w:sz="4" w:space="0"/>
              <w:bottom w:val="single" w:color="000000" w:sz="4" w:space="0"/>
            </w:tcBorders>
            <w:vAlign w:val="top"/>
          </w:tcPr>
          <w:p w14:paraId="2E92A445">
            <w:pPr>
              <w:pStyle w:val="8"/>
              <w:spacing w:before="80" w:line="219" w:lineRule="auto"/>
              <w:ind w:left="155"/>
            </w:pPr>
            <w:r>
              <w:rPr>
                <w:spacing w:val="2"/>
              </w:rPr>
              <w:t>高度极性</w:t>
            </w:r>
          </w:p>
        </w:tc>
        <w:tc>
          <w:tcPr>
            <w:tcW w:w="2762" w:type="dxa"/>
            <w:tcBorders>
              <w:top w:val="single" w:color="000000" w:sz="4" w:space="0"/>
              <w:bottom w:val="single" w:color="000000" w:sz="4" w:space="0"/>
            </w:tcBorders>
            <w:vAlign w:val="top"/>
          </w:tcPr>
          <w:p w14:paraId="1D9A15D0">
            <w:pPr>
              <w:pStyle w:val="8"/>
              <w:spacing w:before="80" w:line="219" w:lineRule="auto"/>
              <w:ind w:left="113"/>
            </w:pPr>
            <w:r>
              <w:t>水</w:t>
            </w:r>
          </w:p>
        </w:tc>
        <w:tc>
          <w:tcPr>
            <w:tcW w:w="3511" w:type="dxa"/>
            <w:tcBorders>
              <w:top w:val="single" w:color="000000" w:sz="4" w:space="0"/>
              <w:bottom w:val="single" w:color="000000" w:sz="4" w:space="0"/>
              <w:right w:val="single" w:color="000000" w:sz="4" w:space="0"/>
            </w:tcBorders>
            <w:vAlign w:val="top"/>
          </w:tcPr>
          <w:p w14:paraId="20F88EAB">
            <w:pPr>
              <w:pStyle w:val="8"/>
              <w:spacing w:before="81" w:line="221" w:lineRule="auto"/>
              <w:ind w:left="910"/>
            </w:pPr>
            <w:r>
              <w:rPr>
                <w:spacing w:val="5"/>
              </w:rPr>
              <w:t>不溶</w:t>
            </w:r>
          </w:p>
        </w:tc>
      </w:tr>
      <w:tr w14:paraId="1596147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8" w:hRule="atLeast"/>
        </w:trPr>
        <w:tc>
          <w:tcPr>
            <w:tcW w:w="2527" w:type="dxa"/>
            <w:tcBorders>
              <w:top w:val="single" w:color="000000" w:sz="4" w:space="0"/>
              <w:left w:val="single" w:color="000000" w:sz="4" w:space="0"/>
            </w:tcBorders>
            <w:vAlign w:val="top"/>
          </w:tcPr>
          <w:p w14:paraId="42B4841B">
            <w:pPr>
              <w:pStyle w:val="8"/>
              <w:spacing w:before="100" w:line="219" w:lineRule="auto"/>
              <w:ind w:left="155"/>
            </w:pPr>
            <w:r>
              <w:rPr>
                <w:spacing w:val="1"/>
              </w:rPr>
              <w:t>醇类及二醇类</w:t>
            </w:r>
          </w:p>
        </w:tc>
        <w:tc>
          <w:tcPr>
            <w:tcW w:w="2762" w:type="dxa"/>
            <w:tcBorders>
              <w:top w:val="single" w:color="000000" w:sz="4" w:space="0"/>
            </w:tcBorders>
            <w:vAlign w:val="top"/>
          </w:tcPr>
          <w:p w14:paraId="49FF0689">
            <w:pPr>
              <w:pStyle w:val="8"/>
              <w:spacing w:before="101" w:line="220" w:lineRule="auto"/>
              <w:ind w:left="113"/>
            </w:pPr>
            <w:r>
              <w:rPr>
                <w:spacing w:val="2"/>
              </w:rPr>
              <w:t>乙醇95%</w:t>
            </w:r>
          </w:p>
        </w:tc>
        <w:tc>
          <w:tcPr>
            <w:tcW w:w="3511" w:type="dxa"/>
            <w:tcBorders>
              <w:top w:val="single" w:color="000000" w:sz="4" w:space="0"/>
              <w:right w:val="single" w:color="000000" w:sz="4" w:space="0"/>
            </w:tcBorders>
            <w:vAlign w:val="top"/>
          </w:tcPr>
          <w:p w14:paraId="3BD07170">
            <w:pPr>
              <w:pStyle w:val="8"/>
              <w:spacing w:before="101" w:line="221" w:lineRule="auto"/>
              <w:ind w:left="920"/>
            </w:pPr>
            <w:r>
              <w:rPr>
                <w:spacing w:val="5"/>
              </w:rPr>
              <w:t>不溶</w:t>
            </w:r>
          </w:p>
        </w:tc>
      </w:tr>
      <w:tr w14:paraId="190BFAB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2" w:hRule="atLeast"/>
        </w:trPr>
        <w:tc>
          <w:tcPr>
            <w:tcW w:w="2527" w:type="dxa"/>
            <w:tcBorders>
              <w:left w:val="single" w:color="000000" w:sz="4" w:space="0"/>
            </w:tcBorders>
            <w:vAlign w:val="top"/>
          </w:tcPr>
          <w:p w14:paraId="3DF6D1A0">
            <w:pPr>
              <w:rPr>
                <w:rFonts w:ascii="Arial"/>
                <w:sz w:val="21"/>
              </w:rPr>
            </w:pPr>
          </w:p>
        </w:tc>
        <w:tc>
          <w:tcPr>
            <w:tcW w:w="2762" w:type="dxa"/>
            <w:vAlign w:val="top"/>
          </w:tcPr>
          <w:p w14:paraId="63A18B73">
            <w:pPr>
              <w:pStyle w:val="8"/>
              <w:spacing w:before="92" w:line="219" w:lineRule="auto"/>
              <w:ind w:left="113"/>
            </w:pPr>
            <w:r>
              <w:rPr>
                <w:spacing w:val="3"/>
              </w:rPr>
              <w:t>鲸蜡醇</w:t>
            </w:r>
          </w:p>
        </w:tc>
        <w:tc>
          <w:tcPr>
            <w:tcW w:w="3511" w:type="dxa"/>
            <w:tcBorders>
              <w:right w:val="single" w:color="000000" w:sz="4" w:space="0"/>
            </w:tcBorders>
            <w:vAlign w:val="top"/>
          </w:tcPr>
          <w:p w14:paraId="5FFB5312">
            <w:pPr>
              <w:pStyle w:val="8"/>
              <w:spacing w:before="103" w:line="221" w:lineRule="auto"/>
              <w:ind w:left="920"/>
            </w:pPr>
            <w:r>
              <w:rPr>
                <w:spacing w:val="5"/>
              </w:rPr>
              <w:t>不溶</w:t>
            </w:r>
          </w:p>
        </w:tc>
      </w:tr>
      <w:tr w14:paraId="03F656E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0" w:hRule="atLeast"/>
        </w:trPr>
        <w:tc>
          <w:tcPr>
            <w:tcW w:w="2527" w:type="dxa"/>
            <w:tcBorders>
              <w:left w:val="single" w:color="000000" w:sz="4" w:space="0"/>
            </w:tcBorders>
            <w:vAlign w:val="top"/>
          </w:tcPr>
          <w:p w14:paraId="58F9EE11">
            <w:pPr>
              <w:rPr>
                <w:rFonts w:ascii="Arial"/>
                <w:sz w:val="21"/>
              </w:rPr>
            </w:pPr>
          </w:p>
        </w:tc>
        <w:tc>
          <w:tcPr>
            <w:tcW w:w="2762" w:type="dxa"/>
            <w:vAlign w:val="top"/>
          </w:tcPr>
          <w:p w14:paraId="58A500FC">
            <w:pPr>
              <w:pStyle w:val="8"/>
              <w:spacing w:before="81" w:line="220" w:lineRule="auto"/>
              <w:ind w:left="113"/>
            </w:pPr>
            <w:r>
              <w:rPr>
                <w:spacing w:val="3"/>
              </w:rPr>
              <w:t>丙二醇</w:t>
            </w:r>
          </w:p>
        </w:tc>
        <w:tc>
          <w:tcPr>
            <w:tcW w:w="3511" w:type="dxa"/>
            <w:tcBorders>
              <w:right w:val="single" w:color="000000" w:sz="4" w:space="0"/>
            </w:tcBorders>
            <w:vAlign w:val="top"/>
          </w:tcPr>
          <w:p w14:paraId="1990E350">
            <w:pPr>
              <w:pStyle w:val="8"/>
              <w:spacing w:before="81" w:line="221" w:lineRule="auto"/>
              <w:ind w:left="920"/>
            </w:pPr>
            <w:r>
              <w:rPr>
                <w:spacing w:val="5"/>
              </w:rPr>
              <w:t>不溶</w:t>
            </w:r>
          </w:p>
        </w:tc>
      </w:tr>
      <w:tr w14:paraId="245108B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4" w:hRule="atLeast"/>
        </w:trPr>
        <w:tc>
          <w:tcPr>
            <w:tcW w:w="2527" w:type="dxa"/>
            <w:tcBorders>
              <w:left w:val="single" w:color="000000" w:sz="4" w:space="0"/>
            </w:tcBorders>
            <w:vAlign w:val="top"/>
          </w:tcPr>
          <w:p w14:paraId="0044F69F">
            <w:pPr>
              <w:rPr>
                <w:rFonts w:ascii="Arial"/>
                <w:sz w:val="21"/>
              </w:rPr>
            </w:pPr>
          </w:p>
        </w:tc>
        <w:tc>
          <w:tcPr>
            <w:tcW w:w="2762" w:type="dxa"/>
            <w:vAlign w:val="top"/>
          </w:tcPr>
          <w:p w14:paraId="5153F493">
            <w:pPr>
              <w:pStyle w:val="8"/>
              <w:spacing w:before="81" w:line="220" w:lineRule="auto"/>
              <w:ind w:left="113"/>
            </w:pPr>
            <w:r>
              <w:rPr>
                <w:spacing w:val="3"/>
              </w:rPr>
              <w:t>丙三醇</w:t>
            </w:r>
          </w:p>
        </w:tc>
        <w:tc>
          <w:tcPr>
            <w:tcW w:w="3511" w:type="dxa"/>
            <w:tcBorders>
              <w:right w:val="single" w:color="000000" w:sz="4" w:space="0"/>
            </w:tcBorders>
            <w:vAlign w:val="top"/>
          </w:tcPr>
          <w:p w14:paraId="4A7E6312">
            <w:pPr>
              <w:pStyle w:val="8"/>
              <w:spacing w:before="81" w:line="221" w:lineRule="auto"/>
              <w:ind w:left="920"/>
            </w:pPr>
            <w:r>
              <w:rPr>
                <w:spacing w:val="5"/>
              </w:rPr>
              <w:t>不溶</w:t>
            </w:r>
          </w:p>
        </w:tc>
      </w:tr>
      <w:tr w14:paraId="70715C7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0" w:hRule="atLeast"/>
        </w:trPr>
        <w:tc>
          <w:tcPr>
            <w:tcW w:w="2527" w:type="dxa"/>
            <w:tcBorders>
              <w:left w:val="single" w:color="000000" w:sz="4" w:space="0"/>
            </w:tcBorders>
            <w:vAlign w:val="top"/>
          </w:tcPr>
          <w:p w14:paraId="64238C4C">
            <w:pPr>
              <w:rPr>
                <w:rFonts w:ascii="Arial"/>
                <w:sz w:val="21"/>
              </w:rPr>
            </w:pPr>
          </w:p>
        </w:tc>
        <w:tc>
          <w:tcPr>
            <w:tcW w:w="2762" w:type="dxa"/>
            <w:vAlign w:val="top"/>
          </w:tcPr>
          <w:p w14:paraId="14537F00">
            <w:pPr>
              <w:pStyle w:val="8"/>
              <w:spacing w:before="76" w:line="219" w:lineRule="auto"/>
              <w:ind w:left="113"/>
            </w:pPr>
            <w:r>
              <w:rPr>
                <w:spacing w:val="-3"/>
              </w:rPr>
              <w:t>异丙醇9%</w:t>
            </w:r>
          </w:p>
        </w:tc>
        <w:tc>
          <w:tcPr>
            <w:tcW w:w="3511" w:type="dxa"/>
            <w:tcBorders>
              <w:right w:val="single" w:color="000000" w:sz="4" w:space="0"/>
            </w:tcBorders>
            <w:vAlign w:val="top"/>
          </w:tcPr>
          <w:p w14:paraId="6CF373B8">
            <w:pPr>
              <w:pStyle w:val="8"/>
              <w:spacing w:before="77" w:line="221" w:lineRule="auto"/>
              <w:ind w:left="920"/>
            </w:pPr>
            <w:r>
              <w:rPr>
                <w:spacing w:val="5"/>
              </w:rPr>
              <w:t>不溶</w:t>
            </w:r>
          </w:p>
        </w:tc>
      </w:tr>
      <w:tr w14:paraId="2DBB89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5" w:hRule="atLeast"/>
        </w:trPr>
        <w:tc>
          <w:tcPr>
            <w:tcW w:w="2527" w:type="dxa"/>
            <w:tcBorders>
              <w:left w:val="single" w:color="000000" w:sz="4" w:space="0"/>
            </w:tcBorders>
            <w:vAlign w:val="top"/>
          </w:tcPr>
          <w:p w14:paraId="099A9300">
            <w:pPr>
              <w:rPr>
                <w:rFonts w:ascii="Arial"/>
                <w:sz w:val="21"/>
              </w:rPr>
            </w:pPr>
          </w:p>
        </w:tc>
        <w:tc>
          <w:tcPr>
            <w:tcW w:w="2762" w:type="dxa"/>
            <w:vAlign w:val="top"/>
          </w:tcPr>
          <w:p w14:paraId="477FB5A9">
            <w:pPr>
              <w:pStyle w:val="8"/>
              <w:spacing w:before="87" w:line="220" w:lineRule="auto"/>
              <w:ind w:left="113"/>
            </w:pPr>
            <w:r>
              <w:rPr>
                <w:spacing w:val="5"/>
              </w:rPr>
              <w:t>油醇</w:t>
            </w:r>
          </w:p>
        </w:tc>
        <w:tc>
          <w:tcPr>
            <w:tcW w:w="3511" w:type="dxa"/>
            <w:tcBorders>
              <w:right w:val="single" w:color="000000" w:sz="4" w:space="0"/>
            </w:tcBorders>
            <w:vAlign w:val="top"/>
          </w:tcPr>
          <w:p w14:paraId="6BD7B6E7">
            <w:pPr>
              <w:pStyle w:val="8"/>
              <w:spacing w:before="87" w:line="221" w:lineRule="auto"/>
              <w:ind w:left="920"/>
            </w:pPr>
            <w:r>
              <w:rPr>
                <w:spacing w:val="5"/>
              </w:rPr>
              <w:t>不溶</w:t>
            </w:r>
          </w:p>
        </w:tc>
      </w:tr>
      <w:tr w14:paraId="7B8A5EC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6" w:hRule="atLeast"/>
        </w:trPr>
        <w:tc>
          <w:tcPr>
            <w:tcW w:w="2527" w:type="dxa"/>
            <w:tcBorders>
              <w:left w:val="single" w:color="000000" w:sz="4" w:space="0"/>
            </w:tcBorders>
            <w:vAlign w:val="top"/>
          </w:tcPr>
          <w:p w14:paraId="0A401866">
            <w:pPr>
              <w:rPr>
                <w:rFonts w:ascii="Arial"/>
                <w:sz w:val="21"/>
              </w:rPr>
            </w:pPr>
          </w:p>
        </w:tc>
        <w:tc>
          <w:tcPr>
            <w:tcW w:w="2762" w:type="dxa"/>
            <w:vAlign w:val="top"/>
          </w:tcPr>
          <w:p w14:paraId="08C97F09">
            <w:pPr>
              <w:pStyle w:val="8"/>
              <w:spacing w:before="92" w:line="220" w:lineRule="auto"/>
              <w:ind w:left="113"/>
            </w:pPr>
            <w:r>
              <w:rPr>
                <w:spacing w:val="2"/>
              </w:rPr>
              <w:t>辛基十二醇</w:t>
            </w:r>
          </w:p>
        </w:tc>
        <w:tc>
          <w:tcPr>
            <w:tcW w:w="3511" w:type="dxa"/>
            <w:tcBorders>
              <w:right w:val="single" w:color="000000" w:sz="4" w:space="0"/>
            </w:tcBorders>
            <w:vAlign w:val="top"/>
          </w:tcPr>
          <w:p w14:paraId="19CE2B83">
            <w:pPr>
              <w:pStyle w:val="8"/>
              <w:spacing w:before="92" w:line="221" w:lineRule="auto"/>
              <w:ind w:left="920"/>
            </w:pPr>
            <w:r>
              <w:rPr>
                <w:spacing w:val="5"/>
              </w:rPr>
              <w:t>不溶</w:t>
            </w:r>
          </w:p>
        </w:tc>
      </w:tr>
      <w:tr w14:paraId="38F218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3" w:hRule="atLeast"/>
        </w:trPr>
        <w:tc>
          <w:tcPr>
            <w:tcW w:w="2527" w:type="dxa"/>
            <w:tcBorders>
              <w:left w:val="single" w:color="000000" w:sz="4" w:space="0"/>
            </w:tcBorders>
            <w:vAlign w:val="top"/>
          </w:tcPr>
          <w:p w14:paraId="1F891D72">
            <w:pPr>
              <w:rPr>
                <w:rFonts w:ascii="Arial"/>
                <w:sz w:val="21"/>
              </w:rPr>
            </w:pPr>
          </w:p>
        </w:tc>
        <w:tc>
          <w:tcPr>
            <w:tcW w:w="2762" w:type="dxa"/>
            <w:vAlign w:val="top"/>
          </w:tcPr>
          <w:p w14:paraId="1A573699">
            <w:pPr>
              <w:pStyle w:val="8"/>
              <w:spacing w:before="76" w:line="220" w:lineRule="auto"/>
              <w:ind w:left="113"/>
            </w:pPr>
            <w:r>
              <w:rPr>
                <w:spacing w:val="3"/>
              </w:rPr>
              <w:t>乙二醇</w:t>
            </w:r>
          </w:p>
        </w:tc>
        <w:tc>
          <w:tcPr>
            <w:tcW w:w="3511" w:type="dxa"/>
            <w:tcBorders>
              <w:right w:val="single" w:color="000000" w:sz="4" w:space="0"/>
            </w:tcBorders>
            <w:vAlign w:val="top"/>
          </w:tcPr>
          <w:p w14:paraId="7FC34D98">
            <w:pPr>
              <w:pStyle w:val="8"/>
              <w:spacing w:before="76" w:line="221" w:lineRule="auto"/>
              <w:ind w:left="920"/>
            </w:pPr>
            <w:r>
              <w:rPr>
                <w:spacing w:val="5"/>
              </w:rPr>
              <w:t>不溶</w:t>
            </w:r>
          </w:p>
        </w:tc>
      </w:tr>
      <w:tr w14:paraId="016A26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7" w:hRule="atLeast"/>
        </w:trPr>
        <w:tc>
          <w:tcPr>
            <w:tcW w:w="2527" w:type="dxa"/>
            <w:tcBorders>
              <w:left w:val="single" w:color="000000" w:sz="4" w:space="0"/>
            </w:tcBorders>
            <w:vAlign w:val="top"/>
          </w:tcPr>
          <w:p w14:paraId="67711B34">
            <w:pPr>
              <w:rPr>
                <w:rFonts w:ascii="Arial"/>
                <w:sz w:val="21"/>
              </w:rPr>
            </w:pPr>
          </w:p>
        </w:tc>
        <w:tc>
          <w:tcPr>
            <w:tcW w:w="2762" w:type="dxa"/>
            <w:vAlign w:val="top"/>
          </w:tcPr>
          <w:p w14:paraId="44987C53">
            <w:pPr>
              <w:pStyle w:val="8"/>
              <w:spacing w:before="82" w:line="219" w:lineRule="auto"/>
              <w:ind w:left="113"/>
            </w:pPr>
            <w:r>
              <w:rPr>
                <w:spacing w:val="3"/>
              </w:rPr>
              <w:t>月桂醇</w:t>
            </w:r>
          </w:p>
        </w:tc>
        <w:tc>
          <w:tcPr>
            <w:tcW w:w="3511" w:type="dxa"/>
            <w:tcBorders>
              <w:right w:val="single" w:color="000000" w:sz="4" w:space="0"/>
            </w:tcBorders>
            <w:vAlign w:val="top"/>
          </w:tcPr>
          <w:p w14:paraId="02D93963">
            <w:pPr>
              <w:pStyle w:val="8"/>
              <w:spacing w:before="83" w:line="221" w:lineRule="auto"/>
              <w:ind w:left="920"/>
            </w:pPr>
            <w:r>
              <w:rPr>
                <w:spacing w:val="5"/>
              </w:rPr>
              <w:t>不溶</w:t>
            </w:r>
          </w:p>
        </w:tc>
      </w:tr>
      <w:tr w14:paraId="3422B5D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5" w:hRule="atLeast"/>
        </w:trPr>
        <w:tc>
          <w:tcPr>
            <w:tcW w:w="2527" w:type="dxa"/>
            <w:tcBorders>
              <w:left w:val="single" w:color="000000" w:sz="4" w:space="0"/>
              <w:bottom w:val="single" w:color="000000" w:sz="4" w:space="0"/>
            </w:tcBorders>
            <w:vAlign w:val="top"/>
          </w:tcPr>
          <w:p w14:paraId="216FC094">
            <w:pPr>
              <w:rPr>
                <w:rFonts w:ascii="Arial"/>
                <w:sz w:val="21"/>
              </w:rPr>
            </w:pPr>
          </w:p>
        </w:tc>
        <w:tc>
          <w:tcPr>
            <w:tcW w:w="2762" w:type="dxa"/>
            <w:tcBorders>
              <w:bottom w:val="single" w:color="000000" w:sz="4" w:space="0"/>
            </w:tcBorders>
            <w:vAlign w:val="top"/>
          </w:tcPr>
          <w:p w14:paraId="30DCCD45">
            <w:pPr>
              <w:pStyle w:val="8"/>
              <w:spacing w:before="76" w:line="206" w:lineRule="auto"/>
              <w:ind w:left="113"/>
            </w:pPr>
            <w:r>
              <w:rPr>
                <w:spacing w:val="3"/>
              </w:rPr>
              <w:t>硬脂醇</w:t>
            </w:r>
          </w:p>
        </w:tc>
        <w:tc>
          <w:tcPr>
            <w:tcW w:w="3511" w:type="dxa"/>
            <w:tcBorders>
              <w:bottom w:val="single" w:color="000000" w:sz="4" w:space="0"/>
              <w:right w:val="single" w:color="000000" w:sz="4" w:space="0"/>
            </w:tcBorders>
            <w:vAlign w:val="top"/>
          </w:tcPr>
          <w:p w14:paraId="311BF412">
            <w:pPr>
              <w:pStyle w:val="8"/>
              <w:spacing w:before="77" w:line="205" w:lineRule="auto"/>
              <w:ind w:left="920"/>
            </w:pPr>
            <w:r>
              <w:rPr>
                <w:spacing w:val="5"/>
              </w:rPr>
              <w:t>不溶</w:t>
            </w:r>
          </w:p>
        </w:tc>
      </w:tr>
      <w:tr w14:paraId="15E19F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3" w:hRule="atLeast"/>
        </w:trPr>
        <w:tc>
          <w:tcPr>
            <w:tcW w:w="2527" w:type="dxa"/>
            <w:tcBorders>
              <w:top w:val="single" w:color="000000" w:sz="4" w:space="0"/>
              <w:left w:val="single" w:color="000000" w:sz="4" w:space="0"/>
            </w:tcBorders>
            <w:vAlign w:val="top"/>
          </w:tcPr>
          <w:p w14:paraId="19E16E2A">
            <w:pPr>
              <w:pStyle w:val="8"/>
              <w:spacing w:before="100" w:line="219" w:lineRule="auto"/>
              <w:ind w:left="155"/>
            </w:pPr>
            <w:r>
              <w:rPr>
                <w:spacing w:val="2"/>
              </w:rPr>
              <w:t>碳氢化合物及植物油</w:t>
            </w:r>
          </w:p>
        </w:tc>
        <w:tc>
          <w:tcPr>
            <w:tcW w:w="2762" w:type="dxa"/>
            <w:tcBorders>
              <w:top w:val="single" w:color="000000" w:sz="4" w:space="0"/>
            </w:tcBorders>
            <w:vAlign w:val="top"/>
          </w:tcPr>
          <w:p w14:paraId="222B94B3">
            <w:pPr>
              <w:pStyle w:val="8"/>
              <w:spacing w:before="100" w:line="219" w:lineRule="auto"/>
              <w:ind w:left="113"/>
            </w:pPr>
            <w:r>
              <w:rPr>
                <w:spacing w:val="1"/>
              </w:rPr>
              <w:t>C9-13异链烷烃</w:t>
            </w:r>
          </w:p>
        </w:tc>
        <w:tc>
          <w:tcPr>
            <w:tcW w:w="3511" w:type="dxa"/>
            <w:tcBorders>
              <w:top w:val="single" w:color="000000" w:sz="4" w:space="0"/>
              <w:right w:val="single" w:color="000000" w:sz="4" w:space="0"/>
            </w:tcBorders>
            <w:vAlign w:val="top"/>
          </w:tcPr>
          <w:p w14:paraId="7CAB1E88">
            <w:pPr>
              <w:pStyle w:val="8"/>
              <w:spacing w:before="101" w:line="221" w:lineRule="auto"/>
              <w:ind w:left="920"/>
            </w:pPr>
            <w:r>
              <w:t>溶</w:t>
            </w:r>
          </w:p>
        </w:tc>
      </w:tr>
      <w:tr w14:paraId="38B6E0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0" w:hRule="atLeast"/>
        </w:trPr>
        <w:tc>
          <w:tcPr>
            <w:tcW w:w="2527" w:type="dxa"/>
            <w:tcBorders>
              <w:left w:val="single" w:color="000000" w:sz="4" w:space="0"/>
            </w:tcBorders>
            <w:vAlign w:val="top"/>
          </w:tcPr>
          <w:p w14:paraId="3A201092">
            <w:pPr>
              <w:rPr>
                <w:rFonts w:ascii="Arial"/>
                <w:sz w:val="21"/>
              </w:rPr>
            </w:pPr>
          </w:p>
        </w:tc>
        <w:tc>
          <w:tcPr>
            <w:tcW w:w="2762" w:type="dxa"/>
            <w:vAlign w:val="top"/>
          </w:tcPr>
          <w:p w14:paraId="42FFDD4E">
            <w:pPr>
              <w:pStyle w:val="8"/>
              <w:spacing w:before="97" w:line="219" w:lineRule="auto"/>
              <w:ind w:left="113"/>
            </w:pPr>
            <w:r>
              <w:rPr>
                <w:spacing w:val="7"/>
              </w:rPr>
              <w:t>白矿油(高粘)</w:t>
            </w:r>
          </w:p>
        </w:tc>
        <w:tc>
          <w:tcPr>
            <w:tcW w:w="3511" w:type="dxa"/>
            <w:tcBorders>
              <w:right w:val="single" w:color="000000" w:sz="4" w:space="0"/>
            </w:tcBorders>
            <w:vAlign w:val="top"/>
          </w:tcPr>
          <w:p w14:paraId="572B39FD">
            <w:pPr>
              <w:pStyle w:val="8"/>
              <w:spacing w:before="98" w:line="221" w:lineRule="auto"/>
              <w:ind w:left="920"/>
            </w:pPr>
            <w:r>
              <w:rPr>
                <w:spacing w:val="5"/>
              </w:rPr>
              <w:t>不溶</w:t>
            </w:r>
          </w:p>
        </w:tc>
      </w:tr>
      <w:tr w14:paraId="474B76B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0" w:hRule="atLeast"/>
        </w:trPr>
        <w:tc>
          <w:tcPr>
            <w:tcW w:w="2527" w:type="dxa"/>
            <w:tcBorders>
              <w:left w:val="single" w:color="000000" w:sz="4" w:space="0"/>
            </w:tcBorders>
            <w:vAlign w:val="top"/>
          </w:tcPr>
          <w:p w14:paraId="7BBC1D48">
            <w:pPr>
              <w:rPr>
                <w:rFonts w:ascii="Arial"/>
                <w:sz w:val="21"/>
              </w:rPr>
            </w:pPr>
          </w:p>
        </w:tc>
        <w:tc>
          <w:tcPr>
            <w:tcW w:w="2762" w:type="dxa"/>
            <w:vAlign w:val="top"/>
          </w:tcPr>
          <w:p w14:paraId="3E5EA580">
            <w:pPr>
              <w:pStyle w:val="8"/>
              <w:spacing w:before="87" w:line="219" w:lineRule="auto"/>
              <w:ind w:left="113"/>
            </w:pPr>
            <w:r>
              <w:rPr>
                <w:spacing w:val="7"/>
              </w:rPr>
              <w:t>白矿油(低粘)</w:t>
            </w:r>
          </w:p>
        </w:tc>
        <w:tc>
          <w:tcPr>
            <w:tcW w:w="3511" w:type="dxa"/>
            <w:tcBorders>
              <w:right w:val="single" w:color="000000" w:sz="4" w:space="0"/>
            </w:tcBorders>
            <w:vAlign w:val="top"/>
          </w:tcPr>
          <w:p w14:paraId="1D70751D">
            <w:pPr>
              <w:pStyle w:val="8"/>
              <w:spacing w:before="88" w:line="221" w:lineRule="auto"/>
              <w:ind w:left="920"/>
            </w:pPr>
            <w:r>
              <w:rPr>
                <w:spacing w:val="5"/>
              </w:rPr>
              <w:t>不溶</w:t>
            </w:r>
          </w:p>
        </w:tc>
      </w:tr>
      <w:tr w14:paraId="4D0048C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5" w:hRule="atLeast"/>
        </w:trPr>
        <w:tc>
          <w:tcPr>
            <w:tcW w:w="2527" w:type="dxa"/>
            <w:tcBorders>
              <w:left w:val="single" w:color="000000" w:sz="4" w:space="0"/>
            </w:tcBorders>
            <w:vAlign w:val="top"/>
          </w:tcPr>
          <w:p w14:paraId="569A9B72">
            <w:pPr>
              <w:rPr>
                <w:rFonts w:ascii="Arial"/>
                <w:sz w:val="21"/>
              </w:rPr>
            </w:pPr>
          </w:p>
        </w:tc>
        <w:tc>
          <w:tcPr>
            <w:tcW w:w="2762" w:type="dxa"/>
            <w:vAlign w:val="top"/>
          </w:tcPr>
          <w:p w14:paraId="3DDA188B">
            <w:pPr>
              <w:pStyle w:val="8"/>
              <w:spacing w:before="75" w:line="219" w:lineRule="auto"/>
              <w:ind w:left="113"/>
            </w:pPr>
            <w:r>
              <w:rPr>
                <w:spacing w:val="3"/>
              </w:rPr>
              <w:t>凡士林</w:t>
            </w:r>
          </w:p>
        </w:tc>
        <w:tc>
          <w:tcPr>
            <w:tcW w:w="3511" w:type="dxa"/>
            <w:tcBorders>
              <w:right w:val="single" w:color="000000" w:sz="4" w:space="0"/>
            </w:tcBorders>
            <w:vAlign w:val="top"/>
          </w:tcPr>
          <w:p w14:paraId="47B8F988">
            <w:pPr>
              <w:pStyle w:val="8"/>
              <w:spacing w:before="78" w:line="221" w:lineRule="auto"/>
              <w:ind w:left="900"/>
            </w:pPr>
            <w:r>
              <w:rPr>
                <w:spacing w:val="5"/>
              </w:rPr>
              <w:t>不溶</w:t>
            </w:r>
          </w:p>
        </w:tc>
      </w:tr>
      <w:tr w14:paraId="5705F28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6" w:hRule="atLeast"/>
        </w:trPr>
        <w:tc>
          <w:tcPr>
            <w:tcW w:w="2527" w:type="dxa"/>
            <w:tcBorders>
              <w:left w:val="single" w:color="000000" w:sz="4" w:space="0"/>
            </w:tcBorders>
            <w:vAlign w:val="top"/>
          </w:tcPr>
          <w:p w14:paraId="1701BB83">
            <w:pPr>
              <w:rPr>
                <w:rFonts w:ascii="Arial"/>
                <w:sz w:val="21"/>
              </w:rPr>
            </w:pPr>
          </w:p>
        </w:tc>
        <w:tc>
          <w:tcPr>
            <w:tcW w:w="2762" w:type="dxa"/>
            <w:vAlign w:val="top"/>
          </w:tcPr>
          <w:p w14:paraId="59BC6E5C">
            <w:pPr>
              <w:pStyle w:val="8"/>
              <w:spacing w:before="82" w:line="219" w:lineRule="auto"/>
              <w:ind w:left="113"/>
            </w:pPr>
            <w:r>
              <w:rPr>
                <w:spacing w:val="8"/>
              </w:rPr>
              <w:t>棉籽油</w:t>
            </w:r>
          </w:p>
        </w:tc>
        <w:tc>
          <w:tcPr>
            <w:tcW w:w="3511" w:type="dxa"/>
            <w:tcBorders>
              <w:right w:val="single" w:color="000000" w:sz="4" w:space="0"/>
            </w:tcBorders>
            <w:vAlign w:val="top"/>
          </w:tcPr>
          <w:p w14:paraId="543BEAC6">
            <w:pPr>
              <w:pStyle w:val="8"/>
              <w:spacing w:before="83" w:line="221" w:lineRule="auto"/>
              <w:ind w:left="920"/>
            </w:pPr>
            <w:r>
              <w:rPr>
                <w:spacing w:val="5"/>
              </w:rPr>
              <w:t>不溶</w:t>
            </w:r>
          </w:p>
        </w:tc>
      </w:tr>
      <w:tr w14:paraId="3CFF0A1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9" w:hRule="atLeast"/>
        </w:trPr>
        <w:tc>
          <w:tcPr>
            <w:tcW w:w="2527" w:type="dxa"/>
            <w:tcBorders>
              <w:left w:val="single" w:color="000000" w:sz="4" w:space="0"/>
            </w:tcBorders>
            <w:vAlign w:val="top"/>
          </w:tcPr>
          <w:p w14:paraId="1D3B207B">
            <w:pPr>
              <w:rPr>
                <w:rFonts w:ascii="Arial"/>
                <w:sz w:val="21"/>
              </w:rPr>
            </w:pPr>
          </w:p>
        </w:tc>
        <w:tc>
          <w:tcPr>
            <w:tcW w:w="2762" w:type="dxa"/>
            <w:vAlign w:val="top"/>
          </w:tcPr>
          <w:p w14:paraId="2FCA460E">
            <w:pPr>
              <w:pStyle w:val="8"/>
              <w:spacing w:before="87" w:line="221" w:lineRule="auto"/>
              <w:ind w:left="113"/>
            </w:pPr>
            <w:r>
              <w:rPr>
                <w:spacing w:val="8"/>
              </w:rPr>
              <w:t>蓖麻油</w:t>
            </w:r>
          </w:p>
        </w:tc>
        <w:tc>
          <w:tcPr>
            <w:tcW w:w="3511" w:type="dxa"/>
            <w:tcBorders>
              <w:right w:val="single" w:color="000000" w:sz="4" w:space="0"/>
            </w:tcBorders>
            <w:vAlign w:val="top"/>
          </w:tcPr>
          <w:p w14:paraId="082BC662">
            <w:pPr>
              <w:pStyle w:val="8"/>
              <w:spacing w:before="87" w:line="221" w:lineRule="auto"/>
              <w:ind w:left="920"/>
            </w:pPr>
            <w:r>
              <w:rPr>
                <w:spacing w:val="5"/>
              </w:rPr>
              <w:t>不溶</w:t>
            </w:r>
          </w:p>
        </w:tc>
      </w:tr>
      <w:tr w14:paraId="280D9EF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9" w:hRule="atLeast"/>
        </w:trPr>
        <w:tc>
          <w:tcPr>
            <w:tcW w:w="2527" w:type="dxa"/>
            <w:tcBorders>
              <w:left w:val="single" w:color="000000" w:sz="4" w:space="0"/>
            </w:tcBorders>
            <w:vAlign w:val="top"/>
          </w:tcPr>
          <w:p w14:paraId="4BBE34B8">
            <w:pPr>
              <w:rPr>
                <w:rFonts w:ascii="Arial"/>
                <w:sz w:val="21"/>
              </w:rPr>
            </w:pPr>
          </w:p>
        </w:tc>
        <w:tc>
          <w:tcPr>
            <w:tcW w:w="2762" w:type="dxa"/>
            <w:vAlign w:val="top"/>
          </w:tcPr>
          <w:p w14:paraId="15CDC37C">
            <w:pPr>
              <w:pStyle w:val="8"/>
              <w:spacing w:before="77" w:line="219" w:lineRule="auto"/>
              <w:ind w:left="113"/>
            </w:pPr>
            <w:r>
              <w:rPr>
                <w:spacing w:val="6"/>
              </w:rPr>
              <w:t>葵花籽油</w:t>
            </w:r>
          </w:p>
        </w:tc>
        <w:tc>
          <w:tcPr>
            <w:tcW w:w="3511" w:type="dxa"/>
            <w:tcBorders>
              <w:right w:val="single" w:color="000000" w:sz="4" w:space="0"/>
            </w:tcBorders>
            <w:vAlign w:val="top"/>
          </w:tcPr>
          <w:p w14:paraId="3ADC5CA2">
            <w:pPr>
              <w:pStyle w:val="8"/>
              <w:spacing w:before="78" w:line="221" w:lineRule="auto"/>
              <w:ind w:left="920"/>
            </w:pPr>
            <w:r>
              <w:rPr>
                <w:spacing w:val="5"/>
              </w:rPr>
              <w:t>不溶</w:t>
            </w:r>
          </w:p>
        </w:tc>
      </w:tr>
      <w:tr w14:paraId="482D87D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8" w:hRule="atLeast"/>
        </w:trPr>
        <w:tc>
          <w:tcPr>
            <w:tcW w:w="2527" w:type="dxa"/>
            <w:tcBorders>
              <w:left w:val="single" w:color="000000" w:sz="4" w:space="0"/>
              <w:bottom w:val="single" w:color="000000" w:sz="4" w:space="0"/>
            </w:tcBorders>
            <w:vAlign w:val="top"/>
          </w:tcPr>
          <w:p w14:paraId="0D6609C7">
            <w:pPr>
              <w:rPr>
                <w:rFonts w:ascii="Arial"/>
                <w:sz w:val="21"/>
              </w:rPr>
            </w:pPr>
          </w:p>
        </w:tc>
        <w:tc>
          <w:tcPr>
            <w:tcW w:w="2762" w:type="dxa"/>
            <w:tcBorders>
              <w:bottom w:val="single" w:color="000000" w:sz="4" w:space="0"/>
            </w:tcBorders>
            <w:vAlign w:val="top"/>
          </w:tcPr>
          <w:p w14:paraId="4D7EA909">
            <w:pPr>
              <w:pStyle w:val="8"/>
              <w:spacing w:before="76" w:line="219" w:lineRule="auto"/>
              <w:ind w:left="113"/>
            </w:pPr>
            <w:r>
              <w:rPr>
                <w:spacing w:val="5"/>
              </w:rPr>
              <w:t>小麦胚芽油</w:t>
            </w:r>
          </w:p>
        </w:tc>
        <w:tc>
          <w:tcPr>
            <w:tcW w:w="3511" w:type="dxa"/>
            <w:tcBorders>
              <w:bottom w:val="single" w:color="000000" w:sz="4" w:space="0"/>
              <w:right w:val="single" w:color="000000" w:sz="4" w:space="0"/>
            </w:tcBorders>
            <w:vAlign w:val="top"/>
          </w:tcPr>
          <w:p w14:paraId="51CF358C">
            <w:pPr>
              <w:pStyle w:val="8"/>
              <w:spacing w:before="79" w:line="221" w:lineRule="auto"/>
              <w:ind w:left="920"/>
            </w:pPr>
            <w:r>
              <w:rPr>
                <w:spacing w:val="5"/>
              </w:rPr>
              <w:t>不溶</w:t>
            </w:r>
          </w:p>
        </w:tc>
      </w:tr>
      <w:tr w14:paraId="587ECB7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00" w:hRule="atLeast"/>
        </w:trPr>
        <w:tc>
          <w:tcPr>
            <w:tcW w:w="2527" w:type="dxa"/>
            <w:tcBorders>
              <w:top w:val="single" w:color="000000" w:sz="4" w:space="0"/>
              <w:left w:val="single" w:color="000000" w:sz="4" w:space="0"/>
            </w:tcBorders>
            <w:vAlign w:val="top"/>
          </w:tcPr>
          <w:p w14:paraId="782A65CB">
            <w:pPr>
              <w:pStyle w:val="8"/>
              <w:spacing w:before="103" w:line="219" w:lineRule="auto"/>
              <w:ind w:left="155"/>
              <w:rPr>
                <w:sz w:val="32"/>
                <w:szCs w:val="32"/>
              </w:rPr>
            </w:pPr>
            <w:r>
              <w:rPr>
                <w:spacing w:val="6"/>
                <w:sz w:val="32"/>
                <w:szCs w:val="32"/>
              </w:rPr>
              <w:t>酯类</w:t>
            </w:r>
          </w:p>
        </w:tc>
        <w:tc>
          <w:tcPr>
            <w:tcW w:w="2762" w:type="dxa"/>
            <w:tcBorders>
              <w:top w:val="single" w:color="000000" w:sz="4" w:space="0"/>
            </w:tcBorders>
            <w:vAlign w:val="top"/>
          </w:tcPr>
          <w:p w14:paraId="18038770">
            <w:pPr>
              <w:pStyle w:val="8"/>
              <w:spacing w:before="130" w:line="219" w:lineRule="auto"/>
              <w:ind w:left="113"/>
            </w:pPr>
            <w:r>
              <w:rPr>
                <w:spacing w:val="2"/>
              </w:rPr>
              <w:t>棕榈酸异丙酯</w:t>
            </w:r>
          </w:p>
          <w:p w14:paraId="7058544E">
            <w:pPr>
              <w:pStyle w:val="8"/>
              <w:spacing w:before="112"/>
              <w:ind w:left="113" w:right="883"/>
            </w:pPr>
            <w:r>
              <w:rPr>
                <w:spacing w:val="2"/>
              </w:rPr>
              <w:t>肉豆蔻酸异丙酯</w:t>
            </w:r>
            <w:r>
              <w:t xml:space="preserve"> </w:t>
            </w:r>
            <w:r>
              <w:rPr>
                <w:spacing w:val="3"/>
              </w:rPr>
              <w:t>乙酸乙酯</w:t>
            </w:r>
          </w:p>
        </w:tc>
        <w:tc>
          <w:tcPr>
            <w:tcW w:w="3511" w:type="dxa"/>
            <w:tcBorders>
              <w:top w:val="single" w:color="000000" w:sz="4" w:space="0"/>
              <w:right w:val="single" w:color="000000" w:sz="4" w:space="0"/>
            </w:tcBorders>
            <w:vAlign w:val="top"/>
          </w:tcPr>
          <w:p w14:paraId="6D7A2106">
            <w:pPr>
              <w:pStyle w:val="8"/>
              <w:spacing w:before="123" w:line="295" w:lineRule="auto"/>
              <w:ind w:left="910" w:right="2073" w:firstLine="10"/>
            </w:pPr>
            <w:r>
              <w:rPr>
                <w:spacing w:val="5"/>
              </w:rPr>
              <w:t>不溶</w:t>
            </w:r>
            <w:r>
              <w:t xml:space="preserve"> 溶</w:t>
            </w:r>
          </w:p>
          <w:p w14:paraId="2A9F7ED0">
            <w:pPr>
              <w:pStyle w:val="8"/>
              <w:spacing w:before="1" w:line="197" w:lineRule="auto"/>
              <w:ind w:left="920"/>
            </w:pPr>
            <w:r>
              <w:t>溶</w:t>
            </w:r>
          </w:p>
        </w:tc>
      </w:tr>
    </w:tbl>
    <w:p w14:paraId="7454D252">
      <w:pPr>
        <w:rPr>
          <w:rFonts w:ascii="Arial"/>
          <w:sz w:val="21"/>
        </w:rPr>
      </w:pPr>
    </w:p>
    <w:p w14:paraId="44FDA529">
      <w:pPr>
        <w:rPr>
          <w:rFonts w:ascii="Arial" w:hAnsi="Arial" w:eastAsia="Arial" w:cs="Arial"/>
          <w:sz w:val="21"/>
          <w:szCs w:val="21"/>
        </w:rPr>
        <w:sectPr>
          <w:footerReference r:id="rId5" w:type="default"/>
          <w:pgSz w:w="11910" w:h="16840"/>
          <w:pgMar w:top="479" w:right="1430" w:bottom="1143" w:left="1534" w:header="0" w:footer="739" w:gutter="0"/>
          <w:cols w:space="720" w:num="1"/>
        </w:sectPr>
      </w:pPr>
    </w:p>
    <w:p w14:paraId="4F82D8CD">
      <w:pPr>
        <w:spacing w:line="295" w:lineRule="auto"/>
        <w:rPr>
          <w:rFonts w:ascii="Arial"/>
          <w:sz w:val="21"/>
        </w:rPr>
      </w:pPr>
    </w:p>
    <w:p w14:paraId="45F50D18">
      <w:pPr>
        <w:spacing w:line="296" w:lineRule="auto"/>
        <w:rPr>
          <w:rFonts w:ascii="Arial"/>
          <w:sz w:val="21"/>
        </w:rPr>
      </w:pPr>
    </w:p>
    <w:tbl>
      <w:tblPr>
        <w:tblStyle w:val="7"/>
        <w:tblW w:w="8860" w:type="dxa"/>
        <w:tblInd w:w="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708"/>
        <w:gridCol w:w="3916"/>
        <w:gridCol w:w="3236"/>
      </w:tblGrid>
      <w:tr w14:paraId="0964C80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1708" w:type="dxa"/>
            <w:tcBorders>
              <w:left w:val="single" w:color="000000" w:sz="4" w:space="0"/>
            </w:tcBorders>
            <w:vAlign w:val="top"/>
          </w:tcPr>
          <w:p w14:paraId="473008C6">
            <w:pPr>
              <w:rPr>
                <w:rFonts w:hint="default" w:ascii="Arial" w:eastAsia="宋体"/>
                <w:sz w:val="21"/>
                <w:lang w:val="en-US" w:eastAsia="zh-CN"/>
              </w:rPr>
            </w:pPr>
            <w:r>
              <w:rPr>
                <w:rFonts w:hint="eastAsia" w:eastAsia="宋体" w:cs="Arial"/>
                <w:b/>
                <w:bCs/>
                <w:spacing w:val="-2"/>
                <w:sz w:val="36"/>
                <w:szCs w:val="36"/>
                <w:lang w:val="en-US" w:eastAsia="zh-CN"/>
              </w:rPr>
              <w:t>GF1214</w:t>
            </w:r>
          </w:p>
        </w:tc>
        <w:tc>
          <w:tcPr>
            <w:tcW w:w="3916" w:type="dxa"/>
            <w:vAlign w:val="top"/>
          </w:tcPr>
          <w:p w14:paraId="72758235">
            <w:pPr>
              <w:rPr>
                <w:rFonts w:ascii="Arial"/>
                <w:sz w:val="21"/>
              </w:rPr>
            </w:pPr>
          </w:p>
        </w:tc>
        <w:tc>
          <w:tcPr>
            <w:tcW w:w="3236" w:type="dxa"/>
            <w:tcBorders>
              <w:right w:val="single" w:color="000000" w:sz="4" w:space="0"/>
            </w:tcBorders>
            <w:vAlign w:val="top"/>
          </w:tcPr>
          <w:p w14:paraId="03F44AF0">
            <w:pPr>
              <w:pStyle w:val="8"/>
              <w:spacing w:before="24" w:line="215" w:lineRule="auto"/>
              <w:jc w:val="right"/>
              <w:rPr>
                <w:sz w:val="24"/>
                <w:szCs w:val="24"/>
              </w:rPr>
            </w:pPr>
          </w:p>
        </w:tc>
      </w:tr>
      <w:tr w14:paraId="419721A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8" w:hRule="atLeast"/>
        </w:trPr>
        <w:tc>
          <w:tcPr>
            <w:tcW w:w="1708" w:type="dxa"/>
            <w:tcBorders>
              <w:left w:val="single" w:color="000000" w:sz="4" w:space="0"/>
            </w:tcBorders>
            <w:vAlign w:val="top"/>
          </w:tcPr>
          <w:p w14:paraId="5A02CBB7">
            <w:pPr>
              <w:rPr>
                <w:rFonts w:ascii="Arial"/>
                <w:sz w:val="21"/>
              </w:rPr>
            </w:pPr>
          </w:p>
        </w:tc>
        <w:tc>
          <w:tcPr>
            <w:tcW w:w="3916" w:type="dxa"/>
            <w:vAlign w:val="top"/>
          </w:tcPr>
          <w:p w14:paraId="0F3FA7D7">
            <w:pPr>
              <w:pStyle w:val="8"/>
              <w:spacing w:before="63" w:line="219" w:lineRule="auto"/>
              <w:ind w:left="1012"/>
              <w:rPr>
                <w:sz w:val="24"/>
                <w:szCs w:val="24"/>
              </w:rPr>
            </w:pPr>
            <w:r>
              <w:rPr>
                <w:spacing w:val="1"/>
                <w:sz w:val="24"/>
                <w:szCs w:val="24"/>
              </w:rPr>
              <w:t>C12-15醇苯甲酸酯</w:t>
            </w:r>
          </w:p>
        </w:tc>
        <w:tc>
          <w:tcPr>
            <w:tcW w:w="3236" w:type="dxa"/>
            <w:tcBorders>
              <w:right w:val="single" w:color="000000" w:sz="4" w:space="0"/>
            </w:tcBorders>
            <w:vAlign w:val="top"/>
          </w:tcPr>
          <w:p w14:paraId="2CF044F7">
            <w:pPr>
              <w:pStyle w:val="8"/>
              <w:spacing w:before="46" w:line="221" w:lineRule="auto"/>
              <w:ind w:left="555"/>
              <w:rPr>
                <w:sz w:val="24"/>
                <w:szCs w:val="24"/>
              </w:rPr>
            </w:pPr>
            <w:r>
              <w:rPr>
                <w:spacing w:val="5"/>
                <w:sz w:val="24"/>
                <w:szCs w:val="24"/>
              </w:rPr>
              <w:t>不溶</w:t>
            </w:r>
          </w:p>
        </w:tc>
      </w:tr>
      <w:tr w14:paraId="099AAAD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3" w:hRule="atLeast"/>
        </w:trPr>
        <w:tc>
          <w:tcPr>
            <w:tcW w:w="1708" w:type="dxa"/>
            <w:tcBorders>
              <w:left w:val="single" w:color="000000" w:sz="4" w:space="0"/>
            </w:tcBorders>
            <w:vAlign w:val="top"/>
          </w:tcPr>
          <w:p w14:paraId="4A403682">
            <w:pPr>
              <w:rPr>
                <w:rFonts w:ascii="Arial"/>
                <w:sz w:val="21"/>
              </w:rPr>
            </w:pPr>
          </w:p>
        </w:tc>
        <w:tc>
          <w:tcPr>
            <w:tcW w:w="3916" w:type="dxa"/>
            <w:vAlign w:val="top"/>
          </w:tcPr>
          <w:p w14:paraId="47977DF1">
            <w:pPr>
              <w:pStyle w:val="8"/>
              <w:spacing w:before="77" w:line="220" w:lineRule="auto"/>
              <w:ind w:left="1372"/>
              <w:rPr>
                <w:sz w:val="24"/>
                <w:szCs w:val="24"/>
              </w:rPr>
            </w:pPr>
            <w:r>
              <w:rPr>
                <w:spacing w:val="2"/>
                <w:sz w:val="24"/>
                <w:szCs w:val="24"/>
              </w:rPr>
              <w:t>油醇油酸酯</w:t>
            </w:r>
          </w:p>
        </w:tc>
        <w:tc>
          <w:tcPr>
            <w:tcW w:w="3236" w:type="dxa"/>
            <w:tcBorders>
              <w:right w:val="single" w:color="000000" w:sz="4" w:space="0"/>
            </w:tcBorders>
            <w:vAlign w:val="top"/>
          </w:tcPr>
          <w:p w14:paraId="3FC7E381">
            <w:pPr>
              <w:pStyle w:val="8"/>
              <w:spacing w:before="78" w:line="221" w:lineRule="auto"/>
              <w:ind w:left="545"/>
              <w:rPr>
                <w:sz w:val="24"/>
                <w:szCs w:val="24"/>
              </w:rPr>
            </w:pPr>
            <w:r>
              <w:rPr>
                <w:spacing w:val="5"/>
                <w:sz w:val="24"/>
                <w:szCs w:val="24"/>
              </w:rPr>
              <w:t>不溶</w:t>
            </w:r>
          </w:p>
        </w:tc>
      </w:tr>
      <w:tr w14:paraId="0BCCE79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0" w:hRule="atLeast"/>
        </w:trPr>
        <w:tc>
          <w:tcPr>
            <w:tcW w:w="1708" w:type="dxa"/>
            <w:tcBorders>
              <w:left w:val="single" w:color="000000" w:sz="4" w:space="0"/>
            </w:tcBorders>
            <w:vAlign w:val="top"/>
          </w:tcPr>
          <w:p w14:paraId="79458E57">
            <w:pPr>
              <w:rPr>
                <w:rFonts w:ascii="Arial"/>
                <w:sz w:val="21"/>
              </w:rPr>
            </w:pPr>
          </w:p>
        </w:tc>
        <w:tc>
          <w:tcPr>
            <w:tcW w:w="3916" w:type="dxa"/>
            <w:vAlign w:val="top"/>
          </w:tcPr>
          <w:p w14:paraId="68BC0B91">
            <w:pPr>
              <w:pStyle w:val="8"/>
              <w:spacing w:before="92" w:line="219" w:lineRule="auto"/>
              <w:ind w:left="971"/>
              <w:rPr>
                <w:sz w:val="24"/>
                <w:szCs w:val="24"/>
              </w:rPr>
            </w:pPr>
            <w:r>
              <w:rPr>
                <w:spacing w:val="1"/>
                <w:sz w:val="24"/>
                <w:szCs w:val="24"/>
              </w:rPr>
              <w:t>甲氧基肉桂酸乙基己酯</w:t>
            </w:r>
          </w:p>
        </w:tc>
        <w:tc>
          <w:tcPr>
            <w:tcW w:w="3236" w:type="dxa"/>
            <w:tcBorders>
              <w:right w:val="single" w:color="000000" w:sz="4" w:space="0"/>
            </w:tcBorders>
            <w:vAlign w:val="top"/>
          </w:tcPr>
          <w:p w14:paraId="73784552">
            <w:pPr>
              <w:pStyle w:val="8"/>
              <w:spacing w:before="94" w:line="219" w:lineRule="auto"/>
              <w:ind w:left="545"/>
              <w:rPr>
                <w:sz w:val="24"/>
                <w:szCs w:val="24"/>
              </w:rPr>
            </w:pPr>
            <w:r>
              <w:rPr>
                <w:spacing w:val="2"/>
                <w:sz w:val="24"/>
                <w:szCs w:val="24"/>
              </w:rPr>
              <w:t>部分相溶</w:t>
            </w:r>
          </w:p>
        </w:tc>
      </w:tr>
      <w:tr w14:paraId="57A01E9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1" w:hRule="atLeast"/>
        </w:trPr>
        <w:tc>
          <w:tcPr>
            <w:tcW w:w="1708" w:type="dxa"/>
            <w:tcBorders>
              <w:left w:val="single" w:color="000000" w:sz="4" w:space="0"/>
              <w:bottom w:val="single" w:color="000000" w:sz="4" w:space="0"/>
            </w:tcBorders>
            <w:vAlign w:val="top"/>
          </w:tcPr>
          <w:p w14:paraId="4E69105B">
            <w:pPr>
              <w:rPr>
                <w:rFonts w:ascii="Arial"/>
                <w:sz w:val="21"/>
              </w:rPr>
            </w:pPr>
          </w:p>
        </w:tc>
        <w:tc>
          <w:tcPr>
            <w:tcW w:w="3916" w:type="dxa"/>
            <w:tcBorders>
              <w:bottom w:val="single" w:color="000000" w:sz="4" w:space="0"/>
            </w:tcBorders>
            <w:vAlign w:val="top"/>
          </w:tcPr>
          <w:p w14:paraId="4AA5CDFE">
            <w:pPr>
              <w:pStyle w:val="8"/>
              <w:spacing w:before="84" w:line="219" w:lineRule="auto"/>
              <w:ind w:left="1132"/>
              <w:rPr>
                <w:sz w:val="24"/>
                <w:szCs w:val="24"/>
              </w:rPr>
            </w:pPr>
            <w:r>
              <w:rPr>
                <w:spacing w:val="2"/>
                <w:sz w:val="24"/>
                <w:szCs w:val="24"/>
              </w:rPr>
              <w:t>水杨酸乙基己酯</w:t>
            </w:r>
          </w:p>
        </w:tc>
        <w:tc>
          <w:tcPr>
            <w:tcW w:w="3236" w:type="dxa"/>
            <w:tcBorders>
              <w:bottom w:val="single" w:color="000000" w:sz="4" w:space="0"/>
              <w:right w:val="single" w:color="000000" w:sz="4" w:space="0"/>
            </w:tcBorders>
            <w:vAlign w:val="top"/>
          </w:tcPr>
          <w:p w14:paraId="23C87296">
            <w:pPr>
              <w:pStyle w:val="8"/>
              <w:spacing w:before="84" w:line="220" w:lineRule="auto"/>
              <w:ind w:left="545"/>
              <w:rPr>
                <w:sz w:val="24"/>
                <w:szCs w:val="24"/>
              </w:rPr>
            </w:pPr>
            <w:r>
              <w:rPr>
                <w:sz w:val="24"/>
                <w:szCs w:val="24"/>
              </w:rPr>
              <w:t>溶</w:t>
            </w:r>
          </w:p>
        </w:tc>
      </w:tr>
      <w:tr w14:paraId="62B636E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38" w:hRule="atLeast"/>
        </w:trPr>
        <w:tc>
          <w:tcPr>
            <w:tcW w:w="1708" w:type="dxa"/>
            <w:tcBorders>
              <w:top w:val="single" w:color="000000" w:sz="4" w:space="0"/>
              <w:left w:val="single" w:color="000000" w:sz="4" w:space="0"/>
              <w:bottom w:val="single" w:color="000000" w:sz="4" w:space="0"/>
            </w:tcBorders>
            <w:vAlign w:val="top"/>
          </w:tcPr>
          <w:p w14:paraId="04B0B811">
            <w:pPr>
              <w:pStyle w:val="8"/>
              <w:spacing w:before="117" w:line="224" w:lineRule="auto"/>
              <w:ind w:left="85"/>
              <w:rPr>
                <w:sz w:val="24"/>
                <w:szCs w:val="24"/>
              </w:rPr>
            </w:pPr>
            <w:r>
              <w:rPr>
                <w:spacing w:val="12"/>
                <w:sz w:val="24"/>
                <w:szCs w:val="24"/>
              </w:rPr>
              <w:t>硅油</w:t>
            </w:r>
          </w:p>
        </w:tc>
        <w:tc>
          <w:tcPr>
            <w:tcW w:w="3916" w:type="dxa"/>
            <w:tcBorders>
              <w:top w:val="single" w:color="000000" w:sz="4" w:space="0"/>
              <w:bottom w:val="single" w:color="000000" w:sz="4" w:space="0"/>
            </w:tcBorders>
            <w:vAlign w:val="top"/>
          </w:tcPr>
          <w:p w14:paraId="40A97CB3">
            <w:pPr>
              <w:pStyle w:val="8"/>
              <w:spacing w:before="111" w:line="219" w:lineRule="auto"/>
              <w:ind w:left="1251"/>
              <w:rPr>
                <w:sz w:val="24"/>
                <w:szCs w:val="24"/>
              </w:rPr>
            </w:pPr>
            <w:r>
              <w:rPr>
                <w:spacing w:val="1"/>
                <w:sz w:val="24"/>
                <w:szCs w:val="24"/>
              </w:rPr>
              <w:t>二甲基硅氧烷</w:t>
            </w:r>
          </w:p>
          <w:p w14:paraId="3D3F10D5">
            <w:pPr>
              <w:pStyle w:val="8"/>
              <w:spacing w:before="145" w:line="219" w:lineRule="auto"/>
              <w:ind w:left="1251"/>
              <w:rPr>
                <w:sz w:val="24"/>
                <w:szCs w:val="24"/>
              </w:rPr>
            </w:pPr>
            <w:r>
              <w:rPr>
                <w:spacing w:val="-2"/>
                <w:sz w:val="24"/>
                <w:szCs w:val="24"/>
              </w:rPr>
              <w:t>环甲基硅氧烷</w:t>
            </w:r>
          </w:p>
          <w:p w14:paraId="475A3EC1">
            <w:pPr>
              <w:pStyle w:val="8"/>
              <w:spacing w:before="115" w:line="219" w:lineRule="auto"/>
              <w:ind w:left="1012"/>
              <w:rPr>
                <w:sz w:val="24"/>
                <w:szCs w:val="24"/>
              </w:rPr>
            </w:pPr>
            <w:r>
              <w:rPr>
                <w:spacing w:val="1"/>
                <w:sz w:val="24"/>
                <w:szCs w:val="24"/>
              </w:rPr>
              <w:t>苯基三甲基硅氧烷</w:t>
            </w:r>
          </w:p>
        </w:tc>
        <w:tc>
          <w:tcPr>
            <w:tcW w:w="3236" w:type="dxa"/>
            <w:tcBorders>
              <w:top w:val="single" w:color="000000" w:sz="4" w:space="0"/>
              <w:bottom w:val="single" w:color="000000" w:sz="4" w:space="0"/>
              <w:right w:val="single" w:color="000000" w:sz="4" w:space="0"/>
            </w:tcBorders>
            <w:vAlign w:val="top"/>
          </w:tcPr>
          <w:p w14:paraId="72A384C1">
            <w:pPr>
              <w:pStyle w:val="8"/>
              <w:spacing w:before="114" w:line="221" w:lineRule="auto"/>
              <w:ind w:left="545"/>
              <w:rPr>
                <w:sz w:val="24"/>
                <w:szCs w:val="24"/>
              </w:rPr>
            </w:pPr>
            <w:r>
              <w:rPr>
                <w:sz w:val="24"/>
                <w:szCs w:val="24"/>
              </w:rPr>
              <w:t>溶</w:t>
            </w:r>
          </w:p>
          <w:p w14:paraId="2692B364">
            <w:pPr>
              <w:pStyle w:val="8"/>
              <w:spacing w:before="142" w:line="221" w:lineRule="auto"/>
              <w:ind w:left="545"/>
              <w:rPr>
                <w:sz w:val="24"/>
                <w:szCs w:val="24"/>
              </w:rPr>
            </w:pPr>
            <w:r>
              <w:rPr>
                <w:sz w:val="24"/>
                <w:szCs w:val="24"/>
              </w:rPr>
              <w:t>溶</w:t>
            </w:r>
          </w:p>
          <w:p w14:paraId="199D27BB">
            <w:pPr>
              <w:pStyle w:val="8"/>
              <w:spacing w:before="112" w:line="218" w:lineRule="auto"/>
              <w:ind w:left="545"/>
              <w:rPr>
                <w:sz w:val="24"/>
                <w:szCs w:val="24"/>
              </w:rPr>
            </w:pPr>
            <w:r>
              <w:rPr>
                <w:sz w:val="24"/>
                <w:szCs w:val="24"/>
              </w:rPr>
              <w:t>溶</w:t>
            </w:r>
          </w:p>
        </w:tc>
      </w:tr>
      <w:tr w14:paraId="098F2A2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47" w:hRule="atLeast"/>
        </w:trPr>
        <w:tc>
          <w:tcPr>
            <w:tcW w:w="1708" w:type="dxa"/>
            <w:tcBorders>
              <w:top w:val="single" w:color="000000" w:sz="4" w:space="0"/>
              <w:left w:val="single" w:color="000000" w:sz="4" w:space="0"/>
              <w:bottom w:val="single" w:color="000000" w:sz="4" w:space="0"/>
            </w:tcBorders>
            <w:vAlign w:val="top"/>
          </w:tcPr>
          <w:p w14:paraId="50C88905">
            <w:pPr>
              <w:pStyle w:val="8"/>
              <w:spacing w:before="115" w:line="219" w:lineRule="auto"/>
              <w:ind w:left="85"/>
              <w:rPr>
                <w:sz w:val="24"/>
                <w:szCs w:val="24"/>
              </w:rPr>
            </w:pPr>
            <w:r>
              <w:rPr>
                <w:spacing w:val="-3"/>
                <w:sz w:val="24"/>
                <w:szCs w:val="24"/>
              </w:rPr>
              <w:t>蜡类</w:t>
            </w:r>
          </w:p>
        </w:tc>
        <w:tc>
          <w:tcPr>
            <w:tcW w:w="3916" w:type="dxa"/>
            <w:tcBorders>
              <w:top w:val="single" w:color="000000" w:sz="4" w:space="0"/>
              <w:bottom w:val="single" w:color="000000" w:sz="4" w:space="0"/>
            </w:tcBorders>
            <w:vAlign w:val="top"/>
          </w:tcPr>
          <w:p w14:paraId="0EDC534B">
            <w:pPr>
              <w:pStyle w:val="8"/>
              <w:spacing w:before="125" w:line="318" w:lineRule="auto"/>
              <w:ind w:left="931" w:right="1994" w:firstLine="20"/>
              <w:rPr>
                <w:sz w:val="24"/>
                <w:szCs w:val="24"/>
              </w:rPr>
            </w:pPr>
            <w:r>
              <w:rPr>
                <w:spacing w:val="2"/>
                <w:sz w:val="24"/>
                <w:szCs w:val="24"/>
              </w:rPr>
              <w:t>固体石蜡</w:t>
            </w:r>
            <w:r>
              <w:rPr>
                <w:sz w:val="24"/>
                <w:szCs w:val="24"/>
              </w:rPr>
              <w:t xml:space="preserve"> </w:t>
            </w:r>
            <w:r>
              <w:rPr>
                <w:spacing w:val="-3"/>
                <w:sz w:val="24"/>
                <w:szCs w:val="24"/>
              </w:rPr>
              <w:t>地蜡</w:t>
            </w:r>
          </w:p>
          <w:p w14:paraId="2ED9985C">
            <w:pPr>
              <w:pStyle w:val="8"/>
              <w:spacing w:before="1" w:line="308" w:lineRule="auto"/>
              <w:ind w:left="931" w:right="1994" w:firstLine="20"/>
              <w:rPr>
                <w:sz w:val="24"/>
                <w:szCs w:val="24"/>
              </w:rPr>
            </w:pPr>
            <w:r>
              <w:rPr>
                <w:spacing w:val="2"/>
                <w:sz w:val="24"/>
                <w:szCs w:val="24"/>
              </w:rPr>
              <w:t>小烛树蜡</w:t>
            </w:r>
            <w:r>
              <w:rPr>
                <w:sz w:val="24"/>
                <w:szCs w:val="24"/>
              </w:rPr>
              <w:t xml:space="preserve"> </w:t>
            </w:r>
            <w:r>
              <w:rPr>
                <w:spacing w:val="4"/>
                <w:sz w:val="24"/>
                <w:szCs w:val="24"/>
              </w:rPr>
              <w:t>蜂蜡</w:t>
            </w:r>
          </w:p>
          <w:p w14:paraId="355210CD">
            <w:pPr>
              <w:pStyle w:val="8"/>
              <w:spacing w:line="217" w:lineRule="auto"/>
              <w:ind w:left="1372"/>
              <w:rPr>
                <w:sz w:val="24"/>
                <w:szCs w:val="24"/>
              </w:rPr>
            </w:pPr>
            <w:r>
              <w:rPr>
                <w:spacing w:val="1"/>
                <w:sz w:val="24"/>
                <w:szCs w:val="24"/>
              </w:rPr>
              <w:t>巴西棕榈蜡</w:t>
            </w:r>
          </w:p>
        </w:tc>
        <w:tc>
          <w:tcPr>
            <w:tcW w:w="3236" w:type="dxa"/>
            <w:tcBorders>
              <w:top w:val="single" w:color="000000" w:sz="4" w:space="0"/>
              <w:bottom w:val="single" w:color="000000" w:sz="4" w:space="0"/>
              <w:right w:val="single" w:color="000000" w:sz="4" w:space="0"/>
            </w:tcBorders>
            <w:vAlign w:val="top"/>
          </w:tcPr>
          <w:p w14:paraId="768BEE1F">
            <w:pPr>
              <w:pStyle w:val="8"/>
              <w:spacing w:before="116" w:line="221" w:lineRule="auto"/>
              <w:ind w:left="545"/>
              <w:rPr>
                <w:sz w:val="24"/>
                <w:szCs w:val="24"/>
              </w:rPr>
            </w:pPr>
            <w:r>
              <w:rPr>
                <w:spacing w:val="5"/>
                <w:sz w:val="24"/>
                <w:szCs w:val="24"/>
              </w:rPr>
              <w:t>不溶</w:t>
            </w:r>
          </w:p>
          <w:p w14:paraId="390D286F">
            <w:pPr>
              <w:pStyle w:val="8"/>
              <w:spacing w:before="132" w:line="221" w:lineRule="auto"/>
              <w:ind w:left="545"/>
              <w:rPr>
                <w:sz w:val="24"/>
                <w:szCs w:val="24"/>
              </w:rPr>
            </w:pPr>
            <w:r>
              <w:rPr>
                <w:spacing w:val="5"/>
                <w:sz w:val="24"/>
                <w:szCs w:val="24"/>
              </w:rPr>
              <w:t>不溶</w:t>
            </w:r>
          </w:p>
          <w:p w14:paraId="0729B878">
            <w:pPr>
              <w:pStyle w:val="8"/>
              <w:spacing w:before="132" w:line="221" w:lineRule="auto"/>
              <w:ind w:left="545"/>
              <w:rPr>
                <w:sz w:val="24"/>
                <w:szCs w:val="24"/>
              </w:rPr>
            </w:pPr>
            <w:r>
              <w:rPr>
                <w:spacing w:val="5"/>
                <w:sz w:val="24"/>
                <w:szCs w:val="24"/>
              </w:rPr>
              <w:t>不溶</w:t>
            </w:r>
          </w:p>
          <w:p w14:paraId="79FF7355">
            <w:pPr>
              <w:pStyle w:val="8"/>
              <w:spacing w:before="112" w:line="221" w:lineRule="auto"/>
              <w:ind w:left="545"/>
              <w:rPr>
                <w:sz w:val="24"/>
                <w:szCs w:val="24"/>
              </w:rPr>
            </w:pPr>
            <w:r>
              <w:rPr>
                <w:spacing w:val="5"/>
                <w:sz w:val="24"/>
                <w:szCs w:val="24"/>
              </w:rPr>
              <w:t>不溶</w:t>
            </w:r>
          </w:p>
          <w:p w14:paraId="522F53E2">
            <w:pPr>
              <w:pStyle w:val="8"/>
              <w:spacing w:before="113" w:line="216" w:lineRule="auto"/>
              <w:ind w:left="545"/>
              <w:rPr>
                <w:sz w:val="24"/>
                <w:szCs w:val="24"/>
              </w:rPr>
            </w:pPr>
            <w:r>
              <w:rPr>
                <w:spacing w:val="5"/>
                <w:sz w:val="24"/>
                <w:szCs w:val="24"/>
              </w:rPr>
              <w:t>不溶</w:t>
            </w:r>
          </w:p>
        </w:tc>
      </w:tr>
      <w:tr w14:paraId="7D9C16E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53" w:hRule="atLeast"/>
        </w:trPr>
        <w:tc>
          <w:tcPr>
            <w:tcW w:w="1708" w:type="dxa"/>
            <w:tcBorders>
              <w:top w:val="single" w:color="000000" w:sz="4" w:space="0"/>
              <w:left w:val="single" w:color="000000" w:sz="4" w:space="0"/>
              <w:bottom w:val="single" w:color="000000" w:sz="4" w:space="0"/>
            </w:tcBorders>
            <w:vAlign w:val="top"/>
          </w:tcPr>
          <w:p w14:paraId="3F6CC7F9">
            <w:pPr>
              <w:pStyle w:val="8"/>
              <w:spacing w:before="116" w:line="219" w:lineRule="auto"/>
              <w:ind w:left="85"/>
              <w:rPr>
                <w:sz w:val="24"/>
                <w:szCs w:val="24"/>
              </w:rPr>
            </w:pPr>
            <w:r>
              <w:rPr>
                <w:spacing w:val="4"/>
                <w:sz w:val="24"/>
                <w:szCs w:val="24"/>
              </w:rPr>
              <w:t>防晒剂</w:t>
            </w:r>
          </w:p>
        </w:tc>
        <w:tc>
          <w:tcPr>
            <w:tcW w:w="3916" w:type="dxa"/>
            <w:tcBorders>
              <w:top w:val="single" w:color="000000" w:sz="4" w:space="0"/>
              <w:bottom w:val="single" w:color="000000" w:sz="4" w:space="0"/>
            </w:tcBorders>
            <w:vAlign w:val="top"/>
          </w:tcPr>
          <w:p w14:paraId="3E02E699">
            <w:pPr>
              <w:pStyle w:val="8"/>
              <w:spacing w:before="116" w:line="316" w:lineRule="auto"/>
              <w:ind w:left="951" w:right="849" w:hanging="59"/>
              <w:rPr>
                <w:sz w:val="24"/>
                <w:szCs w:val="24"/>
              </w:rPr>
            </w:pPr>
            <w:r>
              <w:rPr>
                <w:spacing w:val="1"/>
                <w:sz w:val="24"/>
                <w:szCs w:val="24"/>
              </w:rPr>
              <w:t>辛基甲氧基肉桂酸酯</w:t>
            </w:r>
            <w:r>
              <w:rPr>
                <w:spacing w:val="4"/>
                <w:sz w:val="24"/>
                <w:szCs w:val="24"/>
              </w:rPr>
              <w:t xml:space="preserve"> </w:t>
            </w:r>
            <w:r>
              <w:rPr>
                <w:spacing w:val="2"/>
                <w:sz w:val="24"/>
                <w:szCs w:val="24"/>
              </w:rPr>
              <w:t>二苯酮-3</w:t>
            </w:r>
          </w:p>
          <w:p w14:paraId="4C0D01C2">
            <w:pPr>
              <w:pStyle w:val="8"/>
              <w:spacing w:line="219" w:lineRule="auto"/>
              <w:ind w:left="1251"/>
              <w:rPr>
                <w:sz w:val="24"/>
                <w:szCs w:val="24"/>
              </w:rPr>
            </w:pPr>
            <w:r>
              <w:rPr>
                <w:spacing w:val="2"/>
                <w:sz w:val="24"/>
                <w:szCs w:val="24"/>
              </w:rPr>
              <w:t>辛基水扬酸酯</w:t>
            </w:r>
          </w:p>
        </w:tc>
        <w:tc>
          <w:tcPr>
            <w:tcW w:w="3236" w:type="dxa"/>
            <w:tcBorders>
              <w:top w:val="single" w:color="000000" w:sz="4" w:space="0"/>
              <w:bottom w:val="single" w:color="000000" w:sz="4" w:space="0"/>
              <w:right w:val="single" w:color="000000" w:sz="4" w:space="0"/>
            </w:tcBorders>
            <w:vAlign w:val="top"/>
          </w:tcPr>
          <w:p w14:paraId="2331B141">
            <w:pPr>
              <w:pStyle w:val="8"/>
              <w:spacing w:before="119" w:line="221" w:lineRule="auto"/>
              <w:ind w:left="545"/>
              <w:rPr>
                <w:sz w:val="24"/>
                <w:szCs w:val="24"/>
              </w:rPr>
            </w:pPr>
            <w:r>
              <w:rPr>
                <w:spacing w:val="5"/>
                <w:sz w:val="24"/>
                <w:szCs w:val="24"/>
              </w:rPr>
              <w:t>不溶</w:t>
            </w:r>
          </w:p>
          <w:p w14:paraId="35CED8ED">
            <w:pPr>
              <w:pStyle w:val="8"/>
              <w:spacing w:before="132" w:line="221" w:lineRule="auto"/>
              <w:ind w:left="545"/>
              <w:rPr>
                <w:sz w:val="24"/>
                <w:szCs w:val="24"/>
              </w:rPr>
            </w:pPr>
            <w:r>
              <w:rPr>
                <w:spacing w:val="5"/>
                <w:sz w:val="24"/>
                <w:szCs w:val="24"/>
              </w:rPr>
              <w:t>不溶</w:t>
            </w:r>
          </w:p>
          <w:p w14:paraId="68F64048">
            <w:pPr>
              <w:pStyle w:val="8"/>
              <w:spacing w:before="112" w:line="221" w:lineRule="auto"/>
              <w:ind w:left="545"/>
              <w:rPr>
                <w:sz w:val="24"/>
                <w:szCs w:val="24"/>
              </w:rPr>
            </w:pPr>
            <w:r>
              <w:rPr>
                <w:spacing w:val="5"/>
                <w:sz w:val="24"/>
                <w:szCs w:val="24"/>
              </w:rPr>
              <w:t>不溶</w:t>
            </w:r>
          </w:p>
        </w:tc>
      </w:tr>
    </w:tbl>
    <w:p w14:paraId="7FA3D78F">
      <w:pPr>
        <w:spacing w:line="330" w:lineRule="auto"/>
        <w:rPr>
          <w:rFonts w:ascii="Arial"/>
          <w:sz w:val="21"/>
        </w:rPr>
      </w:pPr>
    </w:p>
    <w:p w14:paraId="43DDA343">
      <w:pPr>
        <w:pStyle w:val="2"/>
        <w:spacing w:before="98" w:line="221" w:lineRule="auto"/>
        <w:ind w:left="149"/>
        <w:rPr>
          <w:sz w:val="30"/>
          <w:szCs w:val="30"/>
        </w:rPr>
      </w:pPr>
      <w:r>
        <w:rPr>
          <w:b/>
          <w:bCs/>
          <w:spacing w:val="-6"/>
          <w:sz w:val="30"/>
          <w:szCs w:val="30"/>
        </w:rPr>
        <w:t>操作及贮存</w:t>
      </w:r>
    </w:p>
    <w:p w14:paraId="01FAF9EB">
      <w:pPr>
        <w:pStyle w:val="2"/>
        <w:spacing w:before="122" w:line="332" w:lineRule="auto"/>
        <w:ind w:left="145" w:right="254" w:firstLine="469"/>
        <w:jc w:val="both"/>
        <w:rPr>
          <w:sz w:val="23"/>
          <w:szCs w:val="23"/>
        </w:rPr>
      </w:pPr>
      <w:r>
        <w:rPr>
          <w:spacing w:val="13"/>
          <w:sz w:val="23"/>
          <w:szCs w:val="23"/>
        </w:rPr>
        <w:t>产品在常温中一般可贮存二十四个月或以上，应避免将产品长期暴露在极端</w:t>
      </w:r>
      <w:r>
        <w:rPr>
          <w:spacing w:val="3"/>
          <w:sz w:val="23"/>
          <w:szCs w:val="23"/>
        </w:rPr>
        <w:t xml:space="preserve"> </w:t>
      </w:r>
      <w:r>
        <w:rPr>
          <w:spacing w:val="14"/>
          <w:sz w:val="23"/>
          <w:szCs w:val="23"/>
        </w:rPr>
        <w:t>冷、热的环境中；若产品出现冰冻，需将产</w:t>
      </w:r>
      <w:r>
        <w:rPr>
          <w:spacing w:val="13"/>
          <w:sz w:val="23"/>
          <w:szCs w:val="23"/>
        </w:rPr>
        <w:t>品置于室温下缓慢解冻并适当搅拌，</w:t>
      </w:r>
      <w:r>
        <w:rPr>
          <w:sz w:val="23"/>
          <w:szCs w:val="23"/>
        </w:rPr>
        <w:t xml:space="preserve"> </w:t>
      </w:r>
      <w:r>
        <w:rPr>
          <w:spacing w:val="13"/>
          <w:sz w:val="23"/>
          <w:szCs w:val="23"/>
        </w:rPr>
        <w:t>切记不可将产品直接加热解冻；为了确保产品质量，容</w:t>
      </w:r>
      <w:r>
        <w:rPr>
          <w:spacing w:val="12"/>
          <w:sz w:val="23"/>
          <w:szCs w:val="23"/>
        </w:rPr>
        <w:t>器开封后应尽快用完，不</w:t>
      </w:r>
      <w:r>
        <w:rPr>
          <w:sz w:val="23"/>
          <w:szCs w:val="23"/>
        </w:rPr>
        <w:t xml:space="preserve"> </w:t>
      </w:r>
      <w:r>
        <w:rPr>
          <w:spacing w:val="3"/>
          <w:sz w:val="23"/>
          <w:szCs w:val="23"/>
        </w:rPr>
        <w:t>用时须将容器盖盖紧。</w:t>
      </w:r>
    </w:p>
    <w:p w14:paraId="0284F309">
      <w:pPr>
        <w:pStyle w:val="2"/>
        <w:spacing w:before="287" w:line="223" w:lineRule="auto"/>
        <w:ind w:left="149"/>
        <w:rPr>
          <w:sz w:val="30"/>
          <w:szCs w:val="30"/>
        </w:rPr>
      </w:pPr>
      <w:r>
        <w:rPr>
          <w:b/>
          <w:bCs/>
          <w:spacing w:val="-5"/>
          <w:sz w:val="30"/>
          <w:szCs w:val="30"/>
        </w:rPr>
        <w:t>产品安全</w:t>
      </w:r>
    </w:p>
    <w:p w14:paraId="7B189935">
      <w:pPr>
        <w:pStyle w:val="2"/>
        <w:spacing w:before="102" w:line="333" w:lineRule="auto"/>
        <w:ind w:left="145" w:right="282"/>
        <w:jc w:val="both"/>
        <w:rPr>
          <w:sz w:val="23"/>
          <w:szCs w:val="23"/>
        </w:rPr>
      </w:pPr>
      <w:r>
        <w:rPr>
          <w:spacing w:val="10"/>
          <w:sz w:val="23"/>
          <w:szCs w:val="23"/>
        </w:rPr>
        <w:t>当您考虑使用</w:t>
      </w:r>
      <w:r>
        <w:rPr>
          <w:spacing w:val="-48"/>
          <w:sz w:val="23"/>
          <w:szCs w:val="23"/>
        </w:rPr>
        <w:t xml:space="preserve"> </w:t>
      </w:r>
      <w:r>
        <w:rPr>
          <w:rFonts w:hint="eastAsia" w:ascii="Arial" w:hAnsi="Arial" w:eastAsia="宋体" w:cs="Arial"/>
          <w:sz w:val="23"/>
          <w:szCs w:val="23"/>
          <w:lang w:val="en-US" w:eastAsia="zh-CN"/>
        </w:rPr>
        <w:t>江西奥马哈新材料有限</w:t>
      </w:r>
      <w:r>
        <w:rPr>
          <w:rFonts w:ascii="Arial" w:hAnsi="Arial" w:eastAsia="Arial" w:cs="Arial"/>
          <w:spacing w:val="10"/>
          <w:sz w:val="23"/>
          <w:szCs w:val="23"/>
        </w:rPr>
        <w:t xml:space="preserve"> </w:t>
      </w:r>
      <w:r>
        <w:rPr>
          <w:spacing w:val="10"/>
          <w:sz w:val="23"/>
          <w:szCs w:val="23"/>
        </w:rPr>
        <w:t>公司的任何一款产品时，请在使用前查看该产</w:t>
      </w:r>
      <w:r>
        <w:rPr>
          <w:sz w:val="23"/>
          <w:szCs w:val="23"/>
        </w:rPr>
        <w:t xml:space="preserve"> </w:t>
      </w:r>
      <w:r>
        <w:rPr>
          <w:spacing w:val="12"/>
          <w:sz w:val="23"/>
          <w:szCs w:val="23"/>
        </w:rPr>
        <w:t>品最新的材料安全应用手册</w:t>
      </w:r>
      <w:r>
        <w:rPr>
          <w:rFonts w:ascii="宋体" w:hAnsi="宋体" w:eastAsia="宋体" w:cs="宋体"/>
          <w:spacing w:val="12"/>
          <w:sz w:val="23"/>
          <w:szCs w:val="23"/>
        </w:rPr>
        <w:t>(</w:t>
      </w:r>
      <w:r>
        <w:rPr>
          <w:rFonts w:ascii="宋体" w:hAnsi="宋体" w:eastAsia="宋体" w:cs="宋体"/>
          <w:sz w:val="23"/>
          <w:szCs w:val="23"/>
        </w:rPr>
        <w:t>MSDS</w:t>
      </w:r>
      <w:r>
        <w:rPr>
          <w:rFonts w:ascii="宋体" w:hAnsi="宋体" w:eastAsia="宋体" w:cs="宋体"/>
          <w:spacing w:val="12"/>
          <w:sz w:val="23"/>
          <w:szCs w:val="23"/>
        </w:rPr>
        <w:t xml:space="preserve">),     </w:t>
      </w:r>
      <w:r>
        <w:rPr>
          <w:spacing w:val="12"/>
          <w:sz w:val="23"/>
          <w:szCs w:val="23"/>
        </w:rPr>
        <w:t>以确保您的使用安全。您可以</w:t>
      </w:r>
      <w:r>
        <w:rPr>
          <w:spacing w:val="11"/>
          <w:sz w:val="23"/>
          <w:szCs w:val="23"/>
        </w:rPr>
        <w:t>就近联系</w:t>
      </w:r>
      <w:r>
        <w:rPr>
          <w:sz w:val="23"/>
          <w:szCs w:val="23"/>
        </w:rPr>
        <w:t xml:space="preserve"> </w:t>
      </w:r>
      <w:r>
        <w:rPr>
          <w:rFonts w:hint="eastAsia" w:ascii="Arial" w:hAnsi="Arial" w:eastAsia="宋体" w:cs="Arial"/>
          <w:sz w:val="23"/>
          <w:szCs w:val="23"/>
          <w:lang w:val="en-US" w:eastAsia="zh-CN"/>
        </w:rPr>
        <w:t>奥马哈</w:t>
      </w:r>
      <w:r>
        <w:rPr>
          <w:spacing w:val="10"/>
          <w:sz w:val="23"/>
          <w:szCs w:val="23"/>
        </w:rPr>
        <w:t>公司的业务代表并索取该产品的材料安全应用手册及其它相</w:t>
      </w:r>
      <w:r>
        <w:rPr>
          <w:spacing w:val="1"/>
          <w:sz w:val="23"/>
          <w:szCs w:val="23"/>
        </w:rPr>
        <w:t xml:space="preserve"> </w:t>
      </w:r>
      <w:r>
        <w:rPr>
          <w:spacing w:val="13"/>
          <w:sz w:val="23"/>
          <w:szCs w:val="23"/>
        </w:rPr>
        <w:t>关安全信息。请在使用文中提到的任何产品前</w:t>
      </w:r>
      <w:r>
        <w:rPr>
          <w:spacing w:val="12"/>
          <w:sz w:val="23"/>
          <w:szCs w:val="23"/>
        </w:rPr>
        <w:t>，预先获取相关的产品安全信息并</w:t>
      </w:r>
      <w:r>
        <w:rPr>
          <w:sz w:val="23"/>
          <w:szCs w:val="23"/>
        </w:rPr>
        <w:t xml:space="preserve"> </w:t>
      </w:r>
      <w:r>
        <w:rPr>
          <w:spacing w:val="6"/>
          <w:sz w:val="23"/>
          <w:szCs w:val="23"/>
        </w:rPr>
        <w:t>采取必要的安全措施以确保使用的安全性。</w:t>
      </w:r>
    </w:p>
    <w:p w14:paraId="7330630F">
      <w:pPr>
        <w:spacing w:line="247" w:lineRule="auto"/>
        <w:rPr>
          <w:rFonts w:ascii="Arial"/>
          <w:sz w:val="21"/>
        </w:rPr>
      </w:pPr>
    </w:p>
    <w:p w14:paraId="537B4070">
      <w:pPr>
        <w:spacing w:line="247" w:lineRule="auto"/>
        <w:rPr>
          <w:rFonts w:ascii="Arial"/>
          <w:sz w:val="21"/>
        </w:rPr>
      </w:pPr>
    </w:p>
    <w:p w14:paraId="7623CB13">
      <w:pPr>
        <w:spacing w:line="248" w:lineRule="auto"/>
        <w:rPr>
          <w:rFonts w:ascii="Arial"/>
          <w:sz w:val="21"/>
        </w:rPr>
      </w:pPr>
    </w:p>
    <w:p w14:paraId="711E8461">
      <w:pPr>
        <w:spacing w:line="248" w:lineRule="auto"/>
        <w:rPr>
          <w:rFonts w:ascii="Arial"/>
          <w:sz w:val="21"/>
        </w:rPr>
      </w:pPr>
    </w:p>
    <w:p w14:paraId="61A2C8C6">
      <w:pPr>
        <w:spacing w:line="248" w:lineRule="auto"/>
        <w:rPr>
          <w:rFonts w:ascii="Arial"/>
          <w:sz w:val="21"/>
        </w:rPr>
      </w:pPr>
    </w:p>
    <w:p w14:paraId="57EA19C3">
      <w:pPr>
        <w:spacing w:line="248" w:lineRule="auto"/>
        <w:rPr>
          <w:rFonts w:ascii="Arial"/>
          <w:sz w:val="21"/>
        </w:rPr>
      </w:pPr>
    </w:p>
    <w:p w14:paraId="28A16A87">
      <w:pPr>
        <w:spacing w:line="248" w:lineRule="auto"/>
        <w:rPr>
          <w:rFonts w:ascii="Arial"/>
          <w:sz w:val="21"/>
        </w:rPr>
      </w:pPr>
    </w:p>
    <w:p w14:paraId="1A125411">
      <w:pPr>
        <w:spacing w:before="79" w:line="184" w:lineRule="auto"/>
        <w:ind w:left="8505"/>
        <w:rPr>
          <w:rFonts w:ascii="Times New Roman" w:hAnsi="Times New Roman" w:eastAsia="Times New Roman" w:cs="Times New Roman"/>
          <w:sz w:val="27"/>
          <w:szCs w:val="27"/>
        </w:rPr>
      </w:pPr>
      <w:r>
        <w:rPr>
          <w:rFonts w:ascii="Times New Roman" w:hAnsi="Times New Roman" w:eastAsia="Times New Roman" w:cs="Times New Roman"/>
          <w:sz w:val="27"/>
          <w:szCs w:val="27"/>
        </w:rPr>
        <w:t>3</w:t>
      </w:r>
    </w:p>
    <w:p w14:paraId="10F64728">
      <w:pPr>
        <w:spacing w:line="184" w:lineRule="auto"/>
        <w:rPr>
          <w:rFonts w:ascii="Times New Roman" w:hAnsi="Times New Roman" w:eastAsia="Times New Roman" w:cs="Times New Roman"/>
          <w:sz w:val="27"/>
          <w:szCs w:val="27"/>
        </w:rPr>
        <w:sectPr>
          <w:footerReference r:id="rId6" w:type="default"/>
          <w:pgSz w:w="11910" w:h="16840"/>
          <w:pgMar w:top="499" w:right="1430" w:bottom="910" w:left="1554" w:header="0" w:footer="739" w:gutter="0"/>
          <w:cols w:space="720" w:num="1"/>
        </w:sectPr>
      </w:pPr>
    </w:p>
    <w:p w14:paraId="1BBC803F">
      <w:pPr>
        <w:spacing w:line="307" w:lineRule="auto"/>
        <w:rPr>
          <w:rFonts w:ascii="Arial"/>
          <w:sz w:val="21"/>
        </w:rPr>
      </w:pPr>
    </w:p>
    <w:p w14:paraId="1AFF461F">
      <w:pPr>
        <w:spacing w:line="307" w:lineRule="auto"/>
        <w:rPr>
          <w:rFonts w:ascii="Arial"/>
          <w:sz w:val="21"/>
        </w:rPr>
      </w:pPr>
    </w:p>
    <w:p w14:paraId="5785795F">
      <w:pPr>
        <w:spacing w:before="73" w:line="212" w:lineRule="auto"/>
        <w:rPr>
          <w:rFonts w:ascii="宋体" w:hAnsi="宋体" w:eastAsia="宋体" w:cs="宋体"/>
          <w:sz w:val="35"/>
          <w:szCs w:val="35"/>
        </w:rPr>
      </w:pPr>
      <w:r>
        <w:rPr>
          <w:rFonts w:hint="eastAsia" w:eastAsia="宋体" w:cs="Arial"/>
          <w:b/>
          <w:bCs/>
          <w:spacing w:val="-1"/>
          <w:sz w:val="35"/>
          <w:szCs w:val="35"/>
          <w:lang w:val="en-US" w:eastAsia="zh-CN"/>
        </w:rPr>
        <w:t>GF1214</w:t>
      </w:r>
      <w:r>
        <w:rPr>
          <w:rFonts w:ascii="Times New Roman" w:hAnsi="Times New Roman" w:eastAsia="Times New Roman" w:cs="Times New Roman"/>
          <w:b/>
          <w:bCs/>
          <w:spacing w:val="-2"/>
          <w:sz w:val="35"/>
          <w:szCs w:val="35"/>
        </w:rPr>
        <w:t xml:space="preserve"> </w:t>
      </w:r>
      <w:r>
        <w:rPr>
          <w:rFonts w:ascii="宋体" w:hAnsi="宋体" w:eastAsia="宋体" w:cs="宋体"/>
          <w:b/>
          <w:bCs/>
          <w:spacing w:val="-2"/>
          <w:sz w:val="35"/>
          <w:szCs w:val="35"/>
        </w:rPr>
        <w:t>硅油共混物</w:t>
      </w:r>
    </w:p>
    <w:p w14:paraId="2F2D695C">
      <w:pPr>
        <w:rPr>
          <w:rFonts w:ascii="Arial"/>
          <w:sz w:val="21"/>
        </w:rPr>
      </w:pPr>
    </w:p>
    <w:p w14:paraId="4CE1BCE8">
      <w:pPr>
        <w:rPr>
          <w:rFonts w:ascii="Arial"/>
          <w:sz w:val="21"/>
        </w:rPr>
      </w:pPr>
    </w:p>
    <w:p w14:paraId="715F96C3">
      <w:pPr>
        <w:rPr>
          <w:rFonts w:ascii="Arial"/>
          <w:sz w:val="21"/>
        </w:rPr>
      </w:pPr>
    </w:p>
    <w:p w14:paraId="2B0C591E">
      <w:pPr>
        <w:rPr>
          <w:rFonts w:ascii="Arial"/>
          <w:sz w:val="21"/>
        </w:rPr>
      </w:pPr>
    </w:p>
    <w:p w14:paraId="213B8E05">
      <w:pPr>
        <w:rPr>
          <w:rFonts w:ascii="Arial"/>
          <w:sz w:val="21"/>
        </w:rPr>
      </w:pPr>
    </w:p>
    <w:p w14:paraId="5CC823C0">
      <w:pPr>
        <w:rPr>
          <w:rFonts w:ascii="Arial"/>
          <w:sz w:val="21"/>
        </w:rPr>
      </w:pPr>
    </w:p>
    <w:p w14:paraId="29BE8B42">
      <w:pPr>
        <w:rPr>
          <w:rFonts w:ascii="Arial"/>
          <w:sz w:val="21"/>
        </w:rPr>
      </w:pPr>
    </w:p>
    <w:p w14:paraId="1D921F77">
      <w:pPr>
        <w:rPr>
          <w:rFonts w:ascii="Arial"/>
          <w:sz w:val="21"/>
        </w:rPr>
      </w:pPr>
    </w:p>
    <w:p w14:paraId="0F18D8CF">
      <w:pPr>
        <w:rPr>
          <w:rFonts w:ascii="Arial"/>
          <w:sz w:val="21"/>
        </w:rPr>
      </w:pPr>
    </w:p>
    <w:p w14:paraId="5EF0FB81">
      <w:pPr>
        <w:rPr>
          <w:rFonts w:ascii="Arial"/>
          <w:sz w:val="21"/>
        </w:rPr>
      </w:pPr>
    </w:p>
    <w:p w14:paraId="129E0C22">
      <w:pPr>
        <w:rPr>
          <w:rFonts w:ascii="Arial"/>
          <w:sz w:val="21"/>
        </w:rPr>
      </w:pPr>
    </w:p>
    <w:p w14:paraId="08CB14BE">
      <w:pPr>
        <w:rPr>
          <w:rFonts w:ascii="Arial"/>
          <w:sz w:val="21"/>
        </w:rPr>
      </w:pPr>
    </w:p>
    <w:p w14:paraId="0D86DCB5">
      <w:pPr>
        <w:rPr>
          <w:rFonts w:ascii="Arial"/>
          <w:sz w:val="21"/>
        </w:rPr>
      </w:pPr>
    </w:p>
    <w:p w14:paraId="76988058">
      <w:pPr>
        <w:rPr>
          <w:rFonts w:ascii="Arial"/>
          <w:sz w:val="21"/>
        </w:rPr>
      </w:pPr>
    </w:p>
    <w:p w14:paraId="055CFE3F">
      <w:pPr>
        <w:rPr>
          <w:rFonts w:ascii="Arial"/>
          <w:sz w:val="21"/>
        </w:rPr>
      </w:pPr>
    </w:p>
    <w:p w14:paraId="37DAD121">
      <w:pPr>
        <w:rPr>
          <w:rFonts w:ascii="Arial"/>
          <w:sz w:val="21"/>
        </w:rPr>
      </w:pPr>
    </w:p>
    <w:p w14:paraId="650C0E3E">
      <w:pPr>
        <w:rPr>
          <w:rFonts w:ascii="Arial"/>
          <w:sz w:val="21"/>
        </w:rPr>
      </w:pPr>
    </w:p>
    <w:p w14:paraId="4EFEE27F">
      <w:pPr>
        <w:spacing w:line="241" w:lineRule="auto"/>
        <w:rPr>
          <w:rFonts w:ascii="Arial"/>
          <w:sz w:val="21"/>
        </w:rPr>
      </w:pPr>
    </w:p>
    <w:p w14:paraId="7E04DEFE">
      <w:pPr>
        <w:spacing w:line="241" w:lineRule="auto"/>
        <w:rPr>
          <w:rFonts w:ascii="Arial"/>
          <w:sz w:val="21"/>
        </w:rPr>
      </w:pPr>
    </w:p>
    <w:p w14:paraId="13DAEDD6">
      <w:pPr>
        <w:spacing w:line="241" w:lineRule="auto"/>
        <w:rPr>
          <w:rFonts w:ascii="Arial"/>
          <w:sz w:val="21"/>
        </w:rPr>
      </w:pPr>
    </w:p>
    <w:p w14:paraId="5FBB4C98">
      <w:pPr>
        <w:spacing w:line="241" w:lineRule="auto"/>
        <w:rPr>
          <w:rFonts w:ascii="Arial"/>
          <w:sz w:val="21"/>
        </w:rPr>
      </w:pPr>
    </w:p>
    <w:p w14:paraId="4F86F8EA">
      <w:pPr>
        <w:spacing w:line="241" w:lineRule="auto"/>
        <w:rPr>
          <w:rFonts w:ascii="Arial"/>
          <w:sz w:val="21"/>
        </w:rPr>
      </w:pPr>
    </w:p>
    <w:p w14:paraId="3B34B5B2">
      <w:pPr>
        <w:spacing w:line="241" w:lineRule="auto"/>
        <w:rPr>
          <w:rFonts w:ascii="Arial"/>
          <w:sz w:val="21"/>
        </w:rPr>
      </w:pPr>
    </w:p>
    <w:p w14:paraId="34DA99ED">
      <w:pPr>
        <w:spacing w:line="241" w:lineRule="auto"/>
        <w:rPr>
          <w:rFonts w:ascii="Arial"/>
          <w:sz w:val="21"/>
        </w:rPr>
      </w:pPr>
    </w:p>
    <w:p w14:paraId="15B2A9DF">
      <w:pPr>
        <w:pStyle w:val="2"/>
        <w:spacing w:before="74" w:line="213" w:lineRule="auto"/>
        <w:ind w:left="4092"/>
        <w:rPr>
          <w:sz w:val="23"/>
          <w:szCs w:val="23"/>
        </w:rPr>
      </w:pPr>
      <w:r>
        <w:rPr>
          <w:b/>
          <w:bCs/>
          <w:i/>
          <w:iCs/>
          <w:spacing w:val="-21"/>
          <w:w w:val="98"/>
          <w:sz w:val="23"/>
          <w:szCs w:val="23"/>
          <w:u w:val="single" w:color="auto"/>
        </w:rPr>
        <w:t>法律免责</w:t>
      </w:r>
    </w:p>
    <w:p w14:paraId="5A2D410C">
      <w:pPr>
        <w:pStyle w:val="2"/>
        <w:spacing w:before="61" w:line="310" w:lineRule="auto"/>
        <w:ind w:left="159" w:right="404" w:firstLine="233"/>
        <w:jc w:val="both"/>
        <w:rPr>
          <w:sz w:val="18"/>
          <w:szCs w:val="18"/>
        </w:rPr>
      </w:pPr>
      <w:r>
        <w:rPr>
          <w:rFonts w:hint="eastAsia" w:ascii="宋体" w:hAnsi="宋体" w:eastAsia="宋体" w:cs="宋体"/>
          <w:spacing w:val="30"/>
          <w:sz w:val="18"/>
          <w:szCs w:val="18"/>
          <w:lang w:val="en-US" w:eastAsia="zh-CN"/>
        </w:rPr>
        <w:t>奥马哈</w:t>
      </w:r>
      <w:r>
        <w:rPr>
          <w:rFonts w:ascii="宋体" w:hAnsi="宋体" w:eastAsia="宋体" w:cs="宋体"/>
          <w:spacing w:val="30"/>
          <w:sz w:val="18"/>
          <w:szCs w:val="18"/>
        </w:rPr>
        <w:t xml:space="preserve">  </w:t>
      </w:r>
      <w:r>
        <w:rPr>
          <w:i/>
          <w:iCs/>
          <w:spacing w:val="-4"/>
          <w:sz w:val="18"/>
          <w:szCs w:val="18"/>
        </w:rPr>
        <w:t>公司(以下简称"</w:t>
      </w:r>
      <w:r>
        <w:rPr>
          <w:i/>
          <w:iCs/>
          <w:spacing w:val="-5"/>
          <w:sz w:val="18"/>
          <w:szCs w:val="18"/>
        </w:rPr>
        <w:t>供应商")的材料、产品和服务，根据供应商的标准销售条件进行销</w:t>
      </w:r>
      <w:r>
        <w:rPr>
          <w:spacing w:val="1"/>
          <w:sz w:val="18"/>
          <w:szCs w:val="18"/>
        </w:rPr>
        <w:t xml:space="preserve"> </w:t>
      </w:r>
      <w:r>
        <w:rPr>
          <w:i/>
          <w:iCs/>
          <w:spacing w:val="-5"/>
          <w:sz w:val="18"/>
          <w:szCs w:val="18"/>
        </w:rPr>
        <w:t>售，该销售条件包含在适用的销售合同中，或印刷在收据或发票的</w:t>
      </w:r>
      <w:r>
        <w:rPr>
          <w:i/>
          <w:iCs/>
          <w:spacing w:val="-6"/>
          <w:sz w:val="18"/>
          <w:szCs w:val="18"/>
        </w:rPr>
        <w:t>背面，或可经要求后提供。虽然本文中的</w:t>
      </w:r>
      <w:r>
        <w:rPr>
          <w:sz w:val="18"/>
          <w:szCs w:val="18"/>
        </w:rPr>
        <w:t xml:space="preserve"> </w:t>
      </w:r>
      <w:r>
        <w:rPr>
          <w:i/>
          <w:iCs/>
          <w:spacing w:val="-7"/>
          <w:sz w:val="18"/>
          <w:szCs w:val="18"/>
        </w:rPr>
        <w:t>信息、推荐或建议出于善意而提出，但供应商不以明示或暗示的方式提供如下担保或保证：(</w:t>
      </w:r>
      <w:r>
        <w:rPr>
          <w:i/>
          <w:iCs/>
          <w:spacing w:val="-8"/>
          <w:sz w:val="18"/>
          <w:szCs w:val="18"/>
        </w:rPr>
        <w:t>1)在最终使用状</w:t>
      </w:r>
      <w:r>
        <w:rPr>
          <w:sz w:val="18"/>
          <w:szCs w:val="18"/>
        </w:rPr>
        <w:t xml:space="preserve"> </w:t>
      </w:r>
      <w:r>
        <w:rPr>
          <w:i/>
          <w:iCs/>
          <w:spacing w:val="-8"/>
          <w:sz w:val="18"/>
          <w:szCs w:val="18"/>
        </w:rPr>
        <w:t>态中会获得本文描述的效果；或(2)任何含有供应商的材料、产品、服务、推荐或意见、设计的有效性和安全</w:t>
      </w:r>
      <w:r>
        <w:rPr>
          <w:spacing w:val="12"/>
          <w:sz w:val="18"/>
          <w:szCs w:val="18"/>
        </w:rPr>
        <w:t xml:space="preserve"> </w:t>
      </w:r>
      <w:r>
        <w:rPr>
          <w:i/>
          <w:iCs/>
          <w:spacing w:val="-7"/>
          <w:sz w:val="18"/>
          <w:szCs w:val="18"/>
        </w:rPr>
        <w:t>性。本文中或其他文件中的任何描述都不能变动、更</w:t>
      </w:r>
      <w:r>
        <w:rPr>
          <w:i/>
          <w:iCs/>
          <w:spacing w:val="-8"/>
          <w:sz w:val="18"/>
          <w:szCs w:val="18"/>
        </w:rPr>
        <w:t>改、代替或构成对任何供应商标准销售条件的弃权。</w:t>
      </w:r>
    </w:p>
    <w:p w14:paraId="126E5071">
      <w:pPr>
        <w:pStyle w:val="2"/>
        <w:spacing w:before="36" w:line="318" w:lineRule="auto"/>
        <w:ind w:left="24" w:right="321" w:firstLine="359"/>
        <w:rPr>
          <w:sz w:val="18"/>
          <w:szCs w:val="18"/>
        </w:rPr>
      </w:pPr>
      <w:r>
        <w:rPr>
          <w:i/>
          <w:iCs/>
          <w:spacing w:val="-7"/>
          <w:sz w:val="18"/>
          <w:szCs w:val="18"/>
        </w:rPr>
        <w:t>每一</w:t>
      </w:r>
      <w:r>
        <w:rPr>
          <w:spacing w:val="45"/>
          <w:sz w:val="18"/>
          <w:szCs w:val="18"/>
        </w:rPr>
        <w:t xml:space="preserve"> </w:t>
      </w:r>
      <w:r>
        <w:rPr>
          <w:i/>
          <w:iCs/>
          <w:spacing w:val="-7"/>
          <w:sz w:val="18"/>
          <w:szCs w:val="18"/>
        </w:rPr>
        <w:t>个使用者负有全部责任自行测定供应商的材料、产品、服务、推荐或建议对于其特殊目的的适用性。</w:t>
      </w:r>
      <w:r>
        <w:rPr>
          <w:sz w:val="18"/>
          <w:szCs w:val="18"/>
        </w:rPr>
        <w:t xml:space="preserve"> </w:t>
      </w:r>
      <w:r>
        <w:rPr>
          <w:i/>
          <w:iCs/>
          <w:spacing w:val="-4"/>
          <w:sz w:val="18"/>
          <w:szCs w:val="18"/>
        </w:rPr>
        <w:t>每一</w:t>
      </w:r>
      <w:r>
        <w:rPr>
          <w:spacing w:val="-4"/>
          <w:sz w:val="18"/>
          <w:szCs w:val="18"/>
        </w:rPr>
        <w:t xml:space="preserve"> </w:t>
      </w:r>
      <w:r>
        <w:rPr>
          <w:i/>
          <w:iCs/>
          <w:spacing w:val="-4"/>
          <w:sz w:val="18"/>
          <w:szCs w:val="18"/>
        </w:rPr>
        <w:t>个使用者应鉴别和进行足够的试验和分析以确认在最终使用状态时每</w:t>
      </w:r>
      <w:r>
        <w:rPr>
          <w:spacing w:val="-4"/>
          <w:sz w:val="18"/>
          <w:szCs w:val="18"/>
        </w:rPr>
        <w:t xml:space="preserve"> </w:t>
      </w:r>
      <w:r>
        <w:rPr>
          <w:i/>
          <w:iCs/>
          <w:spacing w:val="-4"/>
          <w:sz w:val="18"/>
          <w:szCs w:val="18"/>
        </w:rPr>
        <w:t>一个最终的成分将是安全并能适用</w:t>
      </w:r>
      <w:r>
        <w:rPr>
          <w:spacing w:val="8"/>
          <w:sz w:val="18"/>
          <w:szCs w:val="18"/>
        </w:rPr>
        <w:t xml:space="preserve"> </w:t>
      </w:r>
      <w:r>
        <w:rPr>
          <w:i/>
          <w:iCs/>
          <w:spacing w:val="-2"/>
          <w:sz w:val="18"/>
          <w:szCs w:val="18"/>
        </w:rPr>
        <w:t>的。由于供应商无法控制使用者对产品的实</w:t>
      </w:r>
      <w:r>
        <w:rPr>
          <w:i/>
          <w:iCs/>
          <w:spacing w:val="-3"/>
          <w:sz w:val="18"/>
          <w:szCs w:val="18"/>
        </w:rPr>
        <w:t>际使用，使用者应独自对其使用承担全部责任，对于对产品的不</w:t>
      </w:r>
      <w:r>
        <w:rPr>
          <w:sz w:val="18"/>
          <w:szCs w:val="18"/>
        </w:rPr>
        <w:t xml:space="preserve">  </w:t>
      </w:r>
      <w:r>
        <w:rPr>
          <w:i/>
          <w:iCs/>
          <w:spacing w:val="-3"/>
          <w:sz w:val="18"/>
          <w:szCs w:val="18"/>
        </w:rPr>
        <w:t>正当或错误使用所引起的损失，供应商不承担任何责任。此外，本文中对有关材料、产品、服务或设计的可</w:t>
      </w:r>
      <w:r>
        <w:rPr>
          <w:spacing w:val="8"/>
          <w:sz w:val="18"/>
          <w:szCs w:val="18"/>
        </w:rPr>
        <w:t xml:space="preserve">  </w:t>
      </w:r>
      <w:r>
        <w:rPr>
          <w:i/>
          <w:iCs/>
          <w:spacing w:val="-2"/>
          <w:sz w:val="18"/>
          <w:szCs w:val="18"/>
        </w:rPr>
        <w:t>能或建议使用的声明并不是，也不应被理解是</w:t>
      </w:r>
      <w:r>
        <w:rPr>
          <w:i/>
          <w:iCs/>
          <w:spacing w:val="-3"/>
          <w:sz w:val="18"/>
          <w:szCs w:val="18"/>
        </w:rPr>
        <w:t>授予供应商及其子公司、附属公司拥有的专利权或其他知识产</w:t>
      </w:r>
      <w:r>
        <w:rPr>
          <w:sz w:val="18"/>
          <w:szCs w:val="18"/>
        </w:rPr>
        <w:t xml:space="preserve">  </w:t>
      </w:r>
      <w:r>
        <w:rPr>
          <w:i/>
          <w:iCs/>
          <w:spacing w:val="-5"/>
          <w:sz w:val="18"/>
          <w:szCs w:val="18"/>
        </w:rPr>
        <w:t>权的专利使用许可或建议以侵害专利权或其他知识产权的方式使用该等对材料、产品、服务或设计。</w:t>
      </w:r>
    </w:p>
    <w:p w14:paraId="20653EA1">
      <w:pPr>
        <w:pStyle w:val="2"/>
        <w:spacing w:before="15" w:line="218" w:lineRule="auto"/>
        <w:ind w:left="436"/>
        <w:rPr>
          <w:sz w:val="18"/>
          <w:szCs w:val="18"/>
        </w:rPr>
      </w:pPr>
      <w:r>
        <w:rPr>
          <w:i/>
          <w:iCs/>
          <w:spacing w:val="-5"/>
          <w:sz w:val="18"/>
          <w:szCs w:val="18"/>
        </w:rPr>
        <w:t>仅适用于工业用途：请注意绝不能将任何</w:t>
      </w:r>
      <w:r>
        <w:rPr>
          <w:spacing w:val="44"/>
          <w:sz w:val="18"/>
          <w:szCs w:val="18"/>
        </w:rPr>
        <w:t xml:space="preserve"> </w:t>
      </w:r>
      <w:r>
        <w:rPr>
          <w:rFonts w:hint="eastAsia"/>
          <w:spacing w:val="44"/>
          <w:sz w:val="18"/>
          <w:szCs w:val="18"/>
          <w:lang w:val="en-US" w:eastAsia="zh-CN"/>
        </w:rPr>
        <w:t>奥马哈</w:t>
      </w:r>
      <w:r>
        <w:rPr>
          <w:i/>
          <w:iCs/>
          <w:spacing w:val="-6"/>
          <w:sz w:val="18"/>
          <w:szCs w:val="18"/>
        </w:rPr>
        <w:t>公司的产品植入或注入人体。</w:t>
      </w:r>
    </w:p>
    <w:p w14:paraId="00629CFE">
      <w:pPr>
        <w:pStyle w:val="2"/>
        <w:spacing w:before="63" w:line="352" w:lineRule="auto"/>
        <w:ind w:left="34" w:right="360" w:firstLine="420"/>
        <w:rPr>
          <w:sz w:val="16"/>
          <w:szCs w:val="16"/>
        </w:rPr>
      </w:pPr>
      <w:r>
        <w:rPr>
          <w:i/>
          <w:iCs/>
          <w:spacing w:val="-6"/>
          <w:sz w:val="18"/>
          <w:szCs w:val="18"/>
        </w:rPr>
        <w:t>本说明书内容在无需通告的情况下可以进行修</w:t>
      </w:r>
      <w:r>
        <w:rPr>
          <w:i/>
          <w:iCs/>
          <w:spacing w:val="-7"/>
          <w:sz w:val="18"/>
          <w:szCs w:val="18"/>
        </w:rPr>
        <w:t>订。没有</w:t>
      </w:r>
      <w:r>
        <w:rPr>
          <w:spacing w:val="69"/>
          <w:sz w:val="18"/>
          <w:szCs w:val="18"/>
        </w:rPr>
        <w:t xml:space="preserve"> </w:t>
      </w:r>
      <w:r>
        <w:rPr>
          <w:rFonts w:hint="eastAsia" w:ascii="宋体" w:hAnsi="宋体" w:eastAsia="宋体" w:cs="宋体"/>
          <w:i/>
          <w:iCs/>
          <w:spacing w:val="-7"/>
          <w:sz w:val="18"/>
          <w:szCs w:val="18"/>
          <w:lang w:val="en-US" w:eastAsia="zh-CN"/>
        </w:rPr>
        <w:t>奥马哈</w:t>
      </w:r>
      <w:r>
        <w:rPr>
          <w:rFonts w:ascii="宋体" w:hAnsi="宋体" w:eastAsia="宋体" w:cs="宋体"/>
          <w:spacing w:val="-7"/>
          <w:sz w:val="18"/>
          <w:szCs w:val="18"/>
        </w:rPr>
        <w:t xml:space="preserve"> </w:t>
      </w:r>
      <w:r>
        <w:rPr>
          <w:i/>
          <w:iCs/>
          <w:spacing w:val="-7"/>
          <w:sz w:val="18"/>
          <w:szCs w:val="18"/>
        </w:rPr>
        <w:t>公司的事先许可，不允许复</w:t>
      </w:r>
      <w:r>
        <w:rPr>
          <w:sz w:val="18"/>
          <w:szCs w:val="18"/>
        </w:rPr>
        <w:t xml:space="preserve"> </w:t>
      </w:r>
      <w:r>
        <w:rPr>
          <w:i/>
          <w:iCs/>
          <w:spacing w:val="-1"/>
          <w:sz w:val="16"/>
          <w:szCs w:val="16"/>
        </w:rPr>
        <w:t>制任何数据。</w:t>
      </w:r>
    </w:p>
    <w:p w14:paraId="41B8469C">
      <w:pPr>
        <w:spacing w:line="255" w:lineRule="auto"/>
        <w:rPr>
          <w:rFonts w:ascii="Arial"/>
          <w:sz w:val="21"/>
        </w:rPr>
      </w:pPr>
    </w:p>
    <w:p w14:paraId="5AC4C7AD">
      <w:pPr>
        <w:spacing w:line="255" w:lineRule="auto"/>
        <w:rPr>
          <w:rFonts w:ascii="Arial"/>
          <w:sz w:val="21"/>
        </w:rPr>
      </w:pPr>
    </w:p>
    <w:p w14:paraId="2E572986">
      <w:pPr>
        <w:spacing w:line="255" w:lineRule="auto"/>
        <w:rPr>
          <w:rFonts w:ascii="Arial"/>
          <w:sz w:val="21"/>
        </w:rPr>
      </w:pPr>
    </w:p>
    <w:p w14:paraId="507FBACA">
      <w:pPr>
        <w:spacing w:line="256" w:lineRule="auto"/>
        <w:rPr>
          <w:rFonts w:ascii="Arial"/>
          <w:sz w:val="21"/>
        </w:rPr>
      </w:pPr>
    </w:p>
    <w:p w14:paraId="722FBB16">
      <w:pPr>
        <w:spacing w:line="256" w:lineRule="auto"/>
        <w:rPr>
          <w:rFonts w:ascii="Arial"/>
          <w:sz w:val="21"/>
        </w:rPr>
      </w:pPr>
    </w:p>
    <w:p w14:paraId="596E787D">
      <w:pPr>
        <w:spacing w:line="256" w:lineRule="auto"/>
        <w:rPr>
          <w:rFonts w:ascii="Arial"/>
          <w:sz w:val="21"/>
        </w:rPr>
      </w:pPr>
    </w:p>
    <w:p w14:paraId="0E9925B5">
      <w:pPr>
        <w:spacing w:line="256" w:lineRule="auto"/>
        <w:rPr>
          <w:rFonts w:ascii="Arial"/>
          <w:sz w:val="21"/>
        </w:rPr>
      </w:pPr>
    </w:p>
    <w:p w14:paraId="72D84460">
      <w:pPr>
        <w:spacing w:line="256" w:lineRule="auto"/>
        <w:rPr>
          <w:rFonts w:ascii="Arial"/>
          <w:sz w:val="21"/>
        </w:rPr>
      </w:pPr>
    </w:p>
    <w:p w14:paraId="70C7198C">
      <w:pPr>
        <w:spacing w:line="256" w:lineRule="auto"/>
        <w:rPr>
          <w:rFonts w:ascii="Arial"/>
          <w:sz w:val="21"/>
        </w:rPr>
      </w:pPr>
    </w:p>
    <w:p w14:paraId="1DBBA979">
      <w:pPr>
        <w:spacing w:line="256" w:lineRule="auto"/>
        <w:rPr>
          <w:rFonts w:ascii="Arial"/>
          <w:sz w:val="21"/>
        </w:rPr>
      </w:pPr>
    </w:p>
    <w:p w14:paraId="5B27FD8B">
      <w:pPr>
        <w:spacing w:line="256" w:lineRule="auto"/>
        <w:rPr>
          <w:rFonts w:ascii="Arial"/>
          <w:sz w:val="21"/>
        </w:rPr>
      </w:pPr>
    </w:p>
    <w:p w14:paraId="23096C90">
      <w:pPr>
        <w:spacing w:line="256" w:lineRule="auto"/>
        <w:rPr>
          <w:rFonts w:ascii="Arial"/>
          <w:sz w:val="21"/>
        </w:rPr>
      </w:pPr>
    </w:p>
    <w:p w14:paraId="07B7D024">
      <w:pPr>
        <w:spacing w:before="52" w:line="188" w:lineRule="auto"/>
        <w:ind w:left="8349"/>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sectPr>
      <w:footerReference r:id="rId7" w:type="default"/>
      <w:pgSz w:w="11910" w:h="16840"/>
      <w:pgMar w:top="479" w:right="1410" w:bottom="910" w:left="1700" w:header="0" w:footer="73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3D0A9">
    <w:pPr>
      <w:spacing w:after="70" w:line="188" w:lineRule="auto"/>
      <w:ind w:left="8515"/>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p w14:paraId="4E1C08B4">
    <w:pPr>
      <w:spacing w:line="186" w:lineRule="auto"/>
      <w:ind w:left="3325"/>
      <w:rPr>
        <w:rFonts w:hint="default" w:ascii="Arial" w:hAnsi="Arial" w:eastAsia="宋体" w:cs="Arial"/>
        <w:sz w:val="18"/>
        <w:szCs w:val="18"/>
        <w:lang w:val="en-US" w:eastAsia="zh-CN"/>
      </w:rPr>
    </w:pPr>
    <w:r>
      <w:rPr>
        <w:rFonts w:hint="eastAsia" w:eastAsia="宋体" w:cs="Arial"/>
        <w:spacing w:val="-1"/>
        <w:sz w:val="18"/>
        <w:szCs w:val="18"/>
        <w:lang w:val="en-US" w:eastAsia="zh-CN"/>
      </w:rPr>
      <w:t>江西奥马哈</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B555A">
    <w:pPr>
      <w:spacing w:line="186" w:lineRule="auto"/>
      <w:rPr>
        <w:rFonts w:ascii="Arial" w:hAnsi="Arial" w:eastAsia="Arial" w:cs="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9C809">
    <w:pPr>
      <w:spacing w:line="186" w:lineRule="auto"/>
      <w:ind w:left="3159"/>
      <w:rPr>
        <w:rFonts w:hint="default" w:ascii="Arial" w:hAnsi="Arial" w:eastAsia="宋体" w:cs="Arial"/>
        <w:sz w:val="18"/>
        <w:szCs w:val="18"/>
        <w:lang w:val="en-US" w:eastAsia="zh-CN"/>
      </w:rPr>
    </w:pPr>
    <w:r>
      <w:rPr>
        <w:rFonts w:hint="eastAsia" w:eastAsia="宋体" w:cs="Arial"/>
        <w:sz w:val="18"/>
        <w:szCs w:val="18"/>
        <w:lang w:val="en-US" w:eastAsia="zh-CN"/>
      </w:rPr>
      <w:t>江西奥马哈</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75A15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24"/>
      <w:szCs w:val="24"/>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5"/>
      <w:szCs w:val="25"/>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1578</Words>
  <Characters>1872</Characters>
  <TotalTime>3</TotalTime>
  <ScaleCrop>false</ScaleCrop>
  <LinksUpToDate>false</LinksUpToDate>
  <CharactersWithSpaces>1953</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2025-03-24T10:42:00Z</dcterms:created>
  <dc:creator>HUAWEI</dc:creator>
  <cp:lastModifiedBy>曾艳红</cp:lastModifiedBy>
  <dcterms:modified xsi:type="dcterms:W3CDTF">2025-03-24T02:47:30Z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2025-03-24T10:42:19Z</vt:filetime>
  </property>
  <property fmtid="{D5CDD505-2E9C-101B-9397-08002B2CF9AE}" pid="4" name="UsrData">
    <vt:lpwstr>67e0c6871ddca0001f098612wl</vt:lpwstr>
  </property>
  <property fmtid="{D5CDD505-2E9C-101B-9397-08002B2CF9AE}" pid="5" name="KSOTemplateDocerSaveRecord">
    <vt:lpwstr>eyJoZGlkIjoiYzEwNTAzNjU4ZTkwZDg3ZjcwMzVkNmQ4NWNlNzE0MTMiLCJ1c2VySWQiOiIxNDY0NjA1NDU3In0=</vt:lpwstr>
  </property>
  <property fmtid="{D5CDD505-2E9C-101B-9397-08002B2CF9AE}" pid="6" name="KSOProductBuildVer">
    <vt:lpwstr>2052-12.1.0.20305</vt:lpwstr>
  </property>
  <property fmtid="{D5CDD505-2E9C-101B-9397-08002B2CF9AE}" pid="7" name="ICV">
    <vt:lpwstr>9F31632A8D944110A5AEB3BB37701AE6_12</vt:lpwstr>
  </property>
</Properties>
</file>