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C20191">
      <w:pPr>
        <w:spacing w:line="448" w:lineRule="auto"/>
        <w:rPr>
          <w:rFonts w:ascii="Arial"/>
          <w:sz w:val="21"/>
        </w:rPr>
      </w:pPr>
    </w:p>
    <w:p w14:paraId="0E2B883A">
      <w:pPr>
        <w:spacing w:before="60" w:line="198" w:lineRule="auto"/>
        <w:rPr>
          <w:rFonts w:hint="default" w:ascii="Arial" w:hAnsi="Arial" w:eastAsia="宋体" w:cs="Arial"/>
          <w:sz w:val="21"/>
          <w:szCs w:val="21"/>
          <w:lang w:val="en-US" w:eastAsia="zh-CN"/>
        </w:rPr>
      </w:pPr>
      <w:r>
        <w:rPr>
          <w:rFonts w:hint="eastAsia" w:eastAsia="宋体" w:cs="Arial"/>
          <w:sz w:val="21"/>
          <w:szCs w:val="21"/>
          <w:lang w:val="en-US" w:eastAsia="zh-CN"/>
        </w:rPr>
        <w:t>GF-86</w:t>
      </w:r>
    </w:p>
    <w:p w14:paraId="0351AE16">
      <w:pPr>
        <w:spacing w:before="85" w:line="220" w:lineRule="auto"/>
        <w:rPr>
          <w:rFonts w:ascii="黑体" w:hAnsi="黑体" w:eastAsia="黑体" w:cs="黑体"/>
          <w:sz w:val="21"/>
          <w:szCs w:val="21"/>
        </w:rPr>
      </w:pPr>
      <w:r>
        <w:rPr>
          <w:rFonts w:ascii="黑体" w:hAnsi="黑体" w:eastAsia="黑体" w:cs="黑体"/>
          <w:spacing w:val="29"/>
          <w:sz w:val="21"/>
          <w:szCs w:val="21"/>
        </w:rPr>
        <w:t>透明氨基硅油乳液</w:t>
      </w:r>
    </w:p>
    <w:p w14:paraId="37B06353">
      <w:pPr>
        <w:spacing w:before="197" w:line="216" w:lineRule="auto"/>
        <w:ind w:left="2"/>
        <w:rPr>
          <w:rFonts w:ascii="黑体" w:hAnsi="黑体" w:eastAsia="黑体" w:cs="黑体"/>
          <w:sz w:val="21"/>
          <w:szCs w:val="21"/>
        </w:rPr>
      </w:pPr>
      <w:r>
        <w:rPr>
          <w:rFonts w:ascii="黑体" w:hAnsi="黑体" w:eastAsia="黑体" w:cs="黑体"/>
          <w:b/>
          <w:bCs/>
          <w:spacing w:val="-10"/>
          <w:sz w:val="21"/>
          <w:szCs w:val="21"/>
        </w:rPr>
        <w:t>产品简介</w:t>
      </w:r>
    </w:p>
    <w:p w14:paraId="2074990C">
      <w:pPr>
        <w:pStyle w:val="2"/>
        <w:spacing w:line="246" w:lineRule="auto"/>
        <w:ind w:right="254"/>
      </w:pPr>
      <w:r>
        <w:rPr>
          <w:rFonts w:hint="eastAsia" w:ascii="宋体" w:hAnsi="宋体" w:eastAsia="宋体" w:cs="宋体"/>
          <w:spacing w:val="23"/>
          <w:lang w:val="en-US" w:eastAsia="zh-CN"/>
        </w:rPr>
        <w:t>GF-86</w:t>
      </w:r>
      <w:r>
        <w:rPr>
          <w:rFonts w:ascii="宋体" w:hAnsi="宋体" w:eastAsia="宋体" w:cs="宋体"/>
          <w:spacing w:val="23"/>
        </w:rPr>
        <w:t xml:space="preserve">  </w:t>
      </w:r>
      <w:r>
        <w:t>是透明氨基改性聚硅氧烷的阳离子</w:t>
      </w:r>
      <w:r>
        <w:rPr>
          <w:spacing w:val="-1"/>
        </w:rPr>
        <w:t>乳液，是由高分子量的氨基改</w:t>
      </w:r>
      <w:r>
        <w:t xml:space="preserve"> 性二甲基硅氧烷及聚烯化氧共聚物所组成的。它对头发</w:t>
      </w:r>
      <w:r>
        <w:rPr>
          <w:spacing w:val="-1"/>
        </w:rPr>
        <w:t>有极佳的亲和力，在护发</w:t>
      </w:r>
      <w:r>
        <w:t xml:space="preserve"> </w:t>
      </w:r>
      <w:r>
        <w:rPr>
          <w:spacing w:val="-1"/>
        </w:rPr>
        <w:t>产品中能提供良好的湿、干梳理性，卓越的爽滑性、柔软性及蓬松性。</w:t>
      </w:r>
    </w:p>
    <w:p w14:paraId="14698CD8">
      <w:pPr>
        <w:pStyle w:val="2"/>
        <w:spacing w:before="1" w:line="263" w:lineRule="auto"/>
        <w:ind w:right="264"/>
      </w:pPr>
      <w:r>
        <w:rPr>
          <w:rFonts w:hint="eastAsia" w:ascii="宋体" w:hAnsi="宋体" w:eastAsia="宋体" w:cs="宋体"/>
          <w:spacing w:val="1"/>
          <w:lang w:val="en-US" w:eastAsia="zh-CN"/>
        </w:rPr>
        <w:t>GF-86</w:t>
      </w:r>
      <w:r>
        <w:rPr>
          <w:rFonts w:ascii="宋体" w:hAnsi="宋体" w:eastAsia="宋体" w:cs="宋体"/>
          <w:spacing w:val="1"/>
        </w:rPr>
        <w:t xml:space="preserve">  </w:t>
      </w:r>
      <w:r>
        <w:rPr>
          <w:spacing w:val="1"/>
        </w:rPr>
        <w:t>是水溶特性的透明微乳液，使用简单，</w:t>
      </w:r>
      <w:r>
        <w:t xml:space="preserve">可用作配制各类珠光及透 </w:t>
      </w:r>
      <w:r>
        <w:rPr>
          <w:spacing w:val="-4"/>
        </w:rPr>
        <w:t>明二合一洗发护发用品。</w:t>
      </w:r>
    </w:p>
    <w:p w14:paraId="43C2CE38">
      <w:pPr>
        <w:spacing w:before="139" w:line="222" w:lineRule="auto"/>
        <w:rPr>
          <w:rFonts w:ascii="黑体" w:hAnsi="黑体" w:eastAsia="黑体" w:cs="黑体"/>
          <w:sz w:val="21"/>
          <w:szCs w:val="21"/>
        </w:rPr>
      </w:pPr>
      <w:r>
        <w:rPr>
          <w:rFonts w:ascii="Arial" w:hAnsi="Arial" w:eastAsia="Arial" w:cs="Arial"/>
          <w:b/>
          <w:bCs/>
          <w:spacing w:val="-5"/>
          <w:sz w:val="21"/>
          <w:szCs w:val="21"/>
        </w:rPr>
        <w:t xml:space="preserve">INCI </w:t>
      </w:r>
      <w:r>
        <w:rPr>
          <w:rFonts w:ascii="黑体" w:hAnsi="黑体" w:eastAsia="黑体" w:cs="黑体"/>
          <w:b/>
          <w:bCs/>
          <w:spacing w:val="-5"/>
          <w:sz w:val="21"/>
          <w:szCs w:val="21"/>
        </w:rPr>
        <w:t>名</w:t>
      </w:r>
      <w:r>
        <w:rPr>
          <w:rFonts w:ascii="黑体" w:hAnsi="黑体" w:eastAsia="黑体" w:cs="黑体"/>
          <w:spacing w:val="-34"/>
          <w:sz w:val="21"/>
          <w:szCs w:val="21"/>
        </w:rPr>
        <w:t xml:space="preserve"> </w:t>
      </w:r>
      <w:r>
        <w:rPr>
          <w:rFonts w:ascii="黑体" w:hAnsi="黑体" w:eastAsia="黑体" w:cs="黑体"/>
          <w:b/>
          <w:bCs/>
          <w:spacing w:val="-5"/>
          <w:sz w:val="21"/>
          <w:szCs w:val="21"/>
        </w:rPr>
        <w:t>：</w:t>
      </w:r>
    </w:p>
    <w:p w14:paraId="044565DF">
      <w:pPr>
        <w:spacing w:before="9" w:line="250" w:lineRule="auto"/>
        <w:ind w:left="289" w:right="194"/>
        <w:rPr>
          <w:rFonts w:ascii="Arial" w:hAnsi="Arial" w:eastAsia="Arial" w:cs="Arial"/>
          <w:sz w:val="16"/>
          <w:szCs w:val="16"/>
        </w:rPr>
      </w:pPr>
      <w:r>
        <w:rPr>
          <w:rFonts w:ascii="Arial" w:hAnsi="Arial" w:eastAsia="Arial" w:cs="Arial"/>
          <w:sz w:val="16"/>
          <w:szCs w:val="16"/>
        </w:rPr>
        <w:t>AMODIMETHICONE(AND)LAURAMIDOPROPYL                 BE</w:t>
      </w:r>
      <w:r>
        <w:rPr>
          <w:rFonts w:ascii="Arial" w:hAnsi="Arial" w:eastAsia="Arial" w:cs="Arial"/>
          <w:spacing w:val="-1"/>
          <w:sz w:val="16"/>
          <w:szCs w:val="16"/>
        </w:rPr>
        <w:t>TAINE(AND)</w:t>
      </w:r>
      <w:r>
        <w:rPr>
          <w:rFonts w:ascii="Arial" w:hAnsi="Arial" w:eastAsia="Arial" w:cs="Arial"/>
          <w:sz w:val="16"/>
          <w:szCs w:val="16"/>
        </w:rPr>
        <w:t xml:space="preserve"> </w:t>
      </w:r>
      <w:r>
        <w:rPr>
          <w:rFonts w:ascii="Arial" w:hAnsi="Arial" w:eastAsia="Arial" w:cs="Arial"/>
          <w:spacing w:val="-1"/>
          <w:sz w:val="16"/>
          <w:szCs w:val="16"/>
        </w:rPr>
        <w:t>TRIDECETH-10</w:t>
      </w:r>
    </w:p>
    <w:p w14:paraId="4DFAA721">
      <w:pPr>
        <w:pStyle w:val="2"/>
        <w:spacing w:before="1" w:line="210" w:lineRule="auto"/>
        <w:ind w:left="289"/>
      </w:pPr>
      <w:r>
        <w:rPr>
          <w:spacing w:val="2"/>
        </w:rPr>
        <w:t>氨端聚二甲基硅氧烷(及)月桂酰胺丙基甜菜碱(及</w:t>
      </w:r>
      <w:r>
        <w:rPr>
          <w:spacing w:val="1"/>
        </w:rPr>
        <w:t>)十三烷醇聚醚-10</w:t>
      </w:r>
    </w:p>
    <w:p w14:paraId="39788D13">
      <w:pPr>
        <w:spacing w:before="191" w:line="222" w:lineRule="auto"/>
        <w:ind w:left="2"/>
        <w:rPr>
          <w:rFonts w:ascii="黑体" w:hAnsi="黑体" w:eastAsia="黑体" w:cs="黑体"/>
          <w:sz w:val="21"/>
          <w:szCs w:val="21"/>
        </w:rPr>
      </w:pPr>
      <w:r>
        <w:rPr>
          <w:rFonts w:ascii="黑体" w:hAnsi="黑体" w:eastAsia="黑体" w:cs="黑体"/>
          <w:b/>
          <w:bCs/>
          <w:spacing w:val="-9"/>
          <w:sz w:val="21"/>
          <w:szCs w:val="21"/>
        </w:rPr>
        <w:t>产品特性</w:t>
      </w:r>
    </w:p>
    <w:p w14:paraId="58BAAD80">
      <w:pPr>
        <w:pStyle w:val="2"/>
        <w:spacing w:before="39" w:line="227" w:lineRule="auto"/>
        <w:ind w:left="289"/>
      </w:pPr>
      <w:r>
        <w:rPr>
          <w:spacing w:val="19"/>
        </w:rPr>
        <w:t>&gt;好的湿、干梳理性能</w:t>
      </w:r>
    </w:p>
    <w:p w14:paraId="711798E2">
      <w:pPr>
        <w:pStyle w:val="2"/>
        <w:spacing w:before="1" w:line="223" w:lineRule="auto"/>
        <w:ind w:left="289"/>
      </w:pPr>
      <w:r>
        <w:rPr>
          <w:spacing w:val="12"/>
        </w:rPr>
        <w:t>&gt;卓越的爽滑度、蓬松性及柔软性</w:t>
      </w:r>
    </w:p>
    <w:p w14:paraId="207A3ABA">
      <w:pPr>
        <w:pStyle w:val="2"/>
        <w:spacing w:before="33" w:line="196" w:lineRule="auto"/>
        <w:ind w:left="550"/>
      </w:pPr>
      <w:r>
        <w:rPr>
          <w:spacing w:val="2"/>
        </w:rPr>
        <w:t>易分散和添加，可直接使用</w:t>
      </w:r>
    </w:p>
    <w:p w14:paraId="4B93ECB9">
      <w:pPr>
        <w:pStyle w:val="2"/>
        <w:spacing w:line="220" w:lineRule="auto"/>
        <w:ind w:left="289"/>
      </w:pPr>
      <w:r>
        <w:rPr>
          <w:spacing w:val="8"/>
        </w:rPr>
        <w:t>&gt;水溶性好，可用于透明的二合一洗发水和护发素中</w:t>
      </w:r>
    </w:p>
    <w:p w14:paraId="03DCAA07">
      <w:pPr>
        <w:pStyle w:val="2"/>
        <w:spacing w:before="22" w:line="223" w:lineRule="auto"/>
        <w:ind w:left="289"/>
      </w:pPr>
      <w:r>
        <w:rPr>
          <w:spacing w:val="12"/>
        </w:rPr>
        <w:t>&gt;在产品中有极好的稳定性和配伍性</w:t>
      </w:r>
      <w:bookmarkStart w:id="0" w:name="_GoBack"/>
      <w:bookmarkEnd w:id="0"/>
    </w:p>
    <w:p w14:paraId="1BBF4EEE">
      <w:pPr>
        <w:pStyle w:val="2"/>
        <w:spacing w:before="14" w:line="220" w:lineRule="auto"/>
        <w:ind w:left="590"/>
      </w:pPr>
      <w:r>
        <w:t>在头发上有很好的调理性及光泽度，尤其适用于受损</w:t>
      </w:r>
      <w:r>
        <w:rPr>
          <w:spacing w:val="-1"/>
        </w:rPr>
        <w:t>头发的修护</w:t>
      </w:r>
    </w:p>
    <w:p w14:paraId="26CC3332">
      <w:pPr>
        <w:spacing w:before="185" w:line="219" w:lineRule="auto"/>
        <w:ind w:left="33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b/>
          <w:bCs/>
          <w:spacing w:val="-4"/>
          <w:sz w:val="21"/>
          <w:szCs w:val="21"/>
        </w:rPr>
        <w:t>物理特性</w:t>
      </w:r>
    </w:p>
    <w:tbl>
      <w:tblPr>
        <w:tblStyle w:val="5"/>
        <w:tblW w:w="5540" w:type="dxa"/>
        <w:tblInd w:w="9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2"/>
        <w:gridCol w:w="1397"/>
        <w:gridCol w:w="2461"/>
      </w:tblGrid>
      <w:tr w14:paraId="025733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" w:hRule="atLeast"/>
        </w:trPr>
        <w:tc>
          <w:tcPr>
            <w:tcW w:w="1682" w:type="dxa"/>
            <w:vAlign w:val="top"/>
          </w:tcPr>
          <w:p w14:paraId="68E8A2E5">
            <w:pPr>
              <w:pStyle w:val="6"/>
              <w:spacing w:before="22" w:line="185" w:lineRule="auto"/>
              <w:ind w:left="344"/>
            </w:pPr>
            <w:r>
              <w:rPr>
                <w:spacing w:val="10"/>
              </w:rPr>
              <w:t>性质</w:t>
            </w:r>
          </w:p>
        </w:tc>
        <w:tc>
          <w:tcPr>
            <w:tcW w:w="1397" w:type="dxa"/>
            <w:vAlign w:val="top"/>
          </w:tcPr>
          <w:p w14:paraId="57591403">
            <w:pPr>
              <w:pStyle w:val="6"/>
              <w:spacing w:before="22" w:line="185" w:lineRule="auto"/>
              <w:ind w:left="353"/>
            </w:pPr>
            <w:r>
              <w:rPr>
                <w:spacing w:val="-3"/>
              </w:rPr>
              <w:t>单位</w:t>
            </w:r>
          </w:p>
        </w:tc>
        <w:tc>
          <w:tcPr>
            <w:tcW w:w="2461" w:type="dxa"/>
            <w:vAlign w:val="top"/>
          </w:tcPr>
          <w:p w14:paraId="74874AD5">
            <w:pPr>
              <w:pStyle w:val="6"/>
              <w:spacing w:before="15" w:line="192" w:lineRule="auto"/>
              <w:ind w:left="348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GF-86</w:t>
            </w:r>
          </w:p>
        </w:tc>
      </w:tr>
      <w:tr w14:paraId="75BC45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1682" w:type="dxa"/>
            <w:vAlign w:val="top"/>
          </w:tcPr>
          <w:p w14:paraId="2422726B">
            <w:pPr>
              <w:pStyle w:val="6"/>
              <w:spacing w:before="19" w:line="183" w:lineRule="auto"/>
              <w:ind w:left="344"/>
            </w:pPr>
            <w:r>
              <w:rPr>
                <w:spacing w:val="-3"/>
              </w:rPr>
              <w:t>外观</w:t>
            </w:r>
          </w:p>
        </w:tc>
        <w:tc>
          <w:tcPr>
            <w:tcW w:w="1397" w:type="dxa"/>
            <w:vAlign w:val="top"/>
          </w:tcPr>
          <w:p w14:paraId="6229369F">
            <w:pPr>
              <w:spacing w:line="197" w:lineRule="exact"/>
              <w:rPr>
                <w:rFonts w:ascii="Arial"/>
                <w:sz w:val="17"/>
              </w:rPr>
            </w:pPr>
          </w:p>
        </w:tc>
        <w:tc>
          <w:tcPr>
            <w:tcW w:w="2461" w:type="dxa"/>
            <w:vAlign w:val="top"/>
          </w:tcPr>
          <w:p w14:paraId="0AD0B85B">
            <w:pPr>
              <w:pStyle w:val="6"/>
              <w:spacing w:before="19" w:line="183" w:lineRule="auto"/>
              <w:ind w:left="346"/>
            </w:pPr>
            <w:r>
              <w:rPr>
                <w:spacing w:val="-2"/>
              </w:rPr>
              <w:t>透明液体</w:t>
            </w:r>
          </w:p>
        </w:tc>
      </w:tr>
      <w:tr w14:paraId="7C60DD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1682" w:type="dxa"/>
            <w:vAlign w:val="top"/>
          </w:tcPr>
          <w:p w14:paraId="09087704">
            <w:pPr>
              <w:pStyle w:val="6"/>
              <w:spacing w:line="192" w:lineRule="auto"/>
              <w:ind w:right="17"/>
              <w:jc w:val="right"/>
            </w:pPr>
            <w:r>
              <w:rPr>
                <w:spacing w:val="4"/>
              </w:rPr>
              <w:t>乳液粘度(25℃)</w:t>
            </w:r>
          </w:p>
        </w:tc>
        <w:tc>
          <w:tcPr>
            <w:tcW w:w="1397" w:type="dxa"/>
            <w:vAlign w:val="top"/>
          </w:tcPr>
          <w:p w14:paraId="528AB302">
            <w:pPr>
              <w:pStyle w:val="6"/>
              <w:spacing w:before="3" w:line="189" w:lineRule="auto"/>
              <w:ind w:left="343"/>
            </w:pPr>
            <w:r>
              <w:rPr>
                <w:spacing w:val="-1"/>
              </w:rPr>
              <w:t>cP(mPa.s)</w:t>
            </w:r>
          </w:p>
        </w:tc>
        <w:tc>
          <w:tcPr>
            <w:tcW w:w="2461" w:type="dxa"/>
            <w:vAlign w:val="top"/>
          </w:tcPr>
          <w:p w14:paraId="2C0C1A44">
            <w:pPr>
              <w:pStyle w:val="6"/>
              <w:spacing w:before="19" w:line="173" w:lineRule="auto"/>
              <w:ind w:left="346"/>
            </w:pPr>
            <w:r>
              <w:rPr>
                <w:spacing w:val="-3"/>
              </w:rPr>
              <w:t>&lt;500</w:t>
            </w:r>
          </w:p>
        </w:tc>
      </w:tr>
      <w:tr w14:paraId="36DCB9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1682" w:type="dxa"/>
            <w:vAlign w:val="top"/>
          </w:tcPr>
          <w:p w14:paraId="1DEB585B">
            <w:pPr>
              <w:pStyle w:val="6"/>
              <w:spacing w:before="23" w:line="179" w:lineRule="auto"/>
              <w:ind w:left="344"/>
            </w:pPr>
            <w:r>
              <w:rPr>
                <w:spacing w:val="-3"/>
              </w:rPr>
              <w:t>离子性</w:t>
            </w:r>
          </w:p>
        </w:tc>
        <w:tc>
          <w:tcPr>
            <w:tcW w:w="1397" w:type="dxa"/>
            <w:vAlign w:val="top"/>
          </w:tcPr>
          <w:p w14:paraId="5DB2EA2D">
            <w:pPr>
              <w:spacing w:line="197" w:lineRule="exact"/>
              <w:rPr>
                <w:rFonts w:ascii="Arial"/>
                <w:sz w:val="17"/>
              </w:rPr>
            </w:pPr>
          </w:p>
        </w:tc>
        <w:tc>
          <w:tcPr>
            <w:tcW w:w="2461" w:type="dxa"/>
            <w:vAlign w:val="top"/>
          </w:tcPr>
          <w:p w14:paraId="1F3EA14E">
            <w:pPr>
              <w:pStyle w:val="6"/>
              <w:spacing w:before="23" w:line="179" w:lineRule="auto"/>
              <w:ind w:left="346"/>
            </w:pPr>
            <w:r>
              <w:rPr>
                <w:spacing w:val="2"/>
              </w:rPr>
              <w:t>阳离子</w:t>
            </w:r>
          </w:p>
        </w:tc>
      </w:tr>
      <w:tr w14:paraId="362D3B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" w:hRule="atLeast"/>
        </w:trPr>
        <w:tc>
          <w:tcPr>
            <w:tcW w:w="1682" w:type="dxa"/>
            <w:vAlign w:val="top"/>
          </w:tcPr>
          <w:p w14:paraId="7C81C954">
            <w:pPr>
              <w:pStyle w:val="6"/>
              <w:spacing w:before="24" w:line="158" w:lineRule="auto"/>
              <w:ind w:left="344"/>
            </w:pPr>
            <w:r>
              <w:rPr>
                <w:spacing w:val="-2"/>
              </w:rPr>
              <w:t>活性物含量</w:t>
            </w:r>
          </w:p>
        </w:tc>
        <w:tc>
          <w:tcPr>
            <w:tcW w:w="1397" w:type="dxa"/>
            <w:vAlign w:val="top"/>
          </w:tcPr>
          <w:p w14:paraId="7E06CED4">
            <w:pPr>
              <w:pStyle w:val="6"/>
              <w:spacing w:before="43" w:line="135" w:lineRule="exact"/>
              <w:ind w:left="333"/>
            </w:pPr>
            <w:r>
              <w:rPr>
                <w:position w:val="-2"/>
              </w:rPr>
              <w:t>%</w:t>
            </w:r>
          </w:p>
        </w:tc>
        <w:tc>
          <w:tcPr>
            <w:tcW w:w="2461" w:type="dxa"/>
            <w:vAlign w:val="top"/>
          </w:tcPr>
          <w:p w14:paraId="64F28170">
            <w:pPr>
              <w:pStyle w:val="6"/>
              <w:spacing w:before="43" w:line="135" w:lineRule="exact"/>
              <w:ind w:left="346"/>
            </w:pPr>
            <w:r>
              <w:rPr>
                <w:spacing w:val="-2"/>
                <w:position w:val="-2"/>
              </w:rPr>
              <w:t>41</w:t>
            </w:r>
          </w:p>
        </w:tc>
      </w:tr>
      <w:tr w14:paraId="7B5BE2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" w:hRule="atLeast"/>
        </w:trPr>
        <w:tc>
          <w:tcPr>
            <w:tcW w:w="1682" w:type="dxa"/>
            <w:vAlign w:val="top"/>
          </w:tcPr>
          <w:p w14:paraId="5130C07E">
            <w:pPr>
              <w:pStyle w:val="6"/>
              <w:spacing w:before="21" w:line="187" w:lineRule="auto"/>
              <w:ind w:left="344"/>
            </w:pPr>
            <w:r>
              <w:rPr>
                <w:spacing w:val="-3"/>
              </w:rPr>
              <w:t>p</w:t>
            </w:r>
            <w:r>
              <w:rPr>
                <w:spacing w:val="-29"/>
              </w:rPr>
              <w:t xml:space="preserve"> </w:t>
            </w:r>
            <w:r>
              <w:rPr>
                <w:spacing w:val="-3"/>
              </w:rPr>
              <w:t>H</w:t>
            </w:r>
            <w:r>
              <w:t xml:space="preserve">    </w:t>
            </w:r>
            <w:r>
              <w:rPr>
                <w:spacing w:val="-3"/>
              </w:rPr>
              <w:t>值</w:t>
            </w:r>
          </w:p>
        </w:tc>
        <w:tc>
          <w:tcPr>
            <w:tcW w:w="1397" w:type="dxa"/>
            <w:vAlign w:val="top"/>
          </w:tcPr>
          <w:p w14:paraId="78B6552A">
            <w:pPr>
              <w:spacing w:line="203" w:lineRule="exact"/>
              <w:rPr>
                <w:rFonts w:ascii="Arial"/>
                <w:sz w:val="17"/>
              </w:rPr>
            </w:pPr>
          </w:p>
        </w:tc>
        <w:tc>
          <w:tcPr>
            <w:tcW w:w="2461" w:type="dxa"/>
            <w:vAlign w:val="top"/>
          </w:tcPr>
          <w:p w14:paraId="38428849">
            <w:pPr>
              <w:pStyle w:val="6"/>
              <w:spacing w:before="44" w:line="164" w:lineRule="auto"/>
              <w:ind w:left="346"/>
            </w:pPr>
            <w:r>
              <w:rPr>
                <w:spacing w:val="-2"/>
              </w:rPr>
              <w:t>6.0~8.0</w:t>
            </w:r>
          </w:p>
        </w:tc>
      </w:tr>
    </w:tbl>
    <w:p w14:paraId="6F4888AC">
      <w:pPr>
        <w:spacing w:before="241" w:line="223" w:lineRule="auto"/>
        <w:ind w:left="3"/>
        <w:rPr>
          <w:rFonts w:ascii="黑体" w:hAnsi="黑体" w:eastAsia="黑体" w:cs="黑体"/>
          <w:sz w:val="21"/>
          <w:szCs w:val="21"/>
        </w:rPr>
      </w:pPr>
      <w:r>
        <w:rPr>
          <w:rFonts w:ascii="黑体" w:hAnsi="黑体" w:eastAsia="黑体" w:cs="黑体"/>
          <w:b/>
          <w:bCs/>
          <w:spacing w:val="-4"/>
          <w:sz w:val="21"/>
          <w:szCs w:val="21"/>
        </w:rPr>
        <w:t>产品应用</w:t>
      </w:r>
    </w:p>
    <w:p w14:paraId="2F8A5A9F">
      <w:pPr>
        <w:pStyle w:val="2"/>
        <w:spacing w:before="26" w:line="227" w:lineRule="auto"/>
        <w:ind w:left="289"/>
      </w:pPr>
      <w:r>
        <w:rPr>
          <w:spacing w:val="-6"/>
        </w:rPr>
        <w:t>●</w:t>
      </w:r>
      <w:r>
        <w:rPr>
          <w:spacing w:val="18"/>
        </w:rPr>
        <w:t xml:space="preserve">  </w:t>
      </w:r>
      <w:r>
        <w:rPr>
          <w:spacing w:val="-6"/>
        </w:rPr>
        <w:t>透明及珠光型二合一洗发水</w:t>
      </w:r>
    </w:p>
    <w:p w14:paraId="6CA97870">
      <w:pPr>
        <w:pStyle w:val="2"/>
        <w:spacing w:before="11" w:line="224" w:lineRule="auto"/>
        <w:ind w:left="289"/>
      </w:pPr>
      <w:r>
        <w:rPr>
          <w:spacing w:val="15"/>
        </w:rPr>
        <w:t>●护发素、煽油膏</w:t>
      </w:r>
    </w:p>
    <w:p w14:paraId="3B0A7CED">
      <w:pPr>
        <w:pStyle w:val="2"/>
        <w:spacing w:before="17" w:line="218" w:lineRule="auto"/>
        <w:ind w:left="289"/>
      </w:pPr>
      <w:r>
        <w:rPr>
          <w:spacing w:val="-11"/>
        </w:rPr>
        <w:t>●</w:t>
      </w:r>
      <w:r>
        <w:rPr>
          <w:spacing w:val="13"/>
        </w:rPr>
        <w:t xml:space="preserve">  </w:t>
      </w:r>
      <w:r>
        <w:rPr>
          <w:spacing w:val="-11"/>
        </w:rPr>
        <w:t>透明护发素</w:t>
      </w:r>
    </w:p>
    <w:p w14:paraId="560C5AC0">
      <w:pPr>
        <w:pStyle w:val="2"/>
        <w:spacing w:line="223" w:lineRule="auto"/>
        <w:ind w:left="289"/>
      </w:pPr>
      <w:r>
        <w:rPr>
          <w:spacing w:val="-14"/>
        </w:rPr>
        <w:t>●</w:t>
      </w:r>
      <w:r>
        <w:rPr>
          <w:spacing w:val="12"/>
        </w:rPr>
        <w:t xml:space="preserve">  </w:t>
      </w:r>
      <w:r>
        <w:rPr>
          <w:spacing w:val="-14"/>
        </w:rPr>
        <w:t>头发喷雾</w:t>
      </w:r>
    </w:p>
    <w:p w14:paraId="32B2EB84">
      <w:pPr>
        <w:spacing w:line="296" w:lineRule="auto"/>
        <w:rPr>
          <w:rFonts w:ascii="Arial"/>
          <w:sz w:val="21"/>
        </w:rPr>
      </w:pPr>
    </w:p>
    <w:p w14:paraId="2C9386EE">
      <w:pPr>
        <w:spacing w:before="69" w:line="221" w:lineRule="auto"/>
        <w:ind w:left="2"/>
        <w:rPr>
          <w:rFonts w:ascii="黑体" w:hAnsi="黑体" w:eastAsia="黑体" w:cs="黑体"/>
          <w:sz w:val="21"/>
          <w:szCs w:val="21"/>
        </w:rPr>
      </w:pPr>
      <w:r>
        <w:rPr>
          <w:rFonts w:ascii="黑体" w:hAnsi="黑体" w:eastAsia="黑体" w:cs="黑体"/>
          <w:b/>
          <w:bCs/>
          <w:spacing w:val="-10"/>
          <w:sz w:val="21"/>
          <w:szCs w:val="21"/>
        </w:rPr>
        <w:t>操作及贮存</w:t>
      </w:r>
    </w:p>
    <w:p w14:paraId="555B86EF">
      <w:pPr>
        <w:pStyle w:val="2"/>
        <w:spacing w:before="15" w:line="230" w:lineRule="auto"/>
        <w:ind w:right="214" w:firstLine="289"/>
        <w:jc w:val="both"/>
      </w:pPr>
      <w:r>
        <w:rPr>
          <w:spacing w:val="-2"/>
        </w:rPr>
        <w:t>产品在常温条件下一般可贮存十二个月，应避免将产品长期暴露在极端冷、热</w:t>
      </w:r>
      <w:r>
        <w:rPr>
          <w:spacing w:val="1"/>
        </w:rPr>
        <w:t xml:space="preserve"> </w:t>
      </w:r>
      <w:r>
        <w:rPr>
          <w:spacing w:val="2"/>
        </w:rPr>
        <w:t>的环境下，极端冷、热的环境可能导致乳液</w:t>
      </w:r>
      <w:r>
        <w:rPr>
          <w:spacing w:val="1"/>
        </w:rPr>
        <w:t>分层。如果产品出现分层现象，使用</w:t>
      </w:r>
      <w:r>
        <w:t xml:space="preserve"> </w:t>
      </w:r>
      <w:r>
        <w:rPr>
          <w:spacing w:val="2"/>
        </w:rPr>
        <w:t>前需适当搅拌使其均匀；若产品出现冰冻，需将</w:t>
      </w:r>
      <w:r>
        <w:rPr>
          <w:spacing w:val="1"/>
        </w:rPr>
        <w:t>产品置于室温下缓慢解冻并适当</w:t>
      </w:r>
      <w:r>
        <w:t xml:space="preserve"> </w:t>
      </w:r>
      <w:r>
        <w:rPr>
          <w:spacing w:val="2"/>
        </w:rPr>
        <w:t>搅拌，切记不可将产品直接加热解冻。为了确保产品质量，容器开封后应尽快用</w:t>
      </w:r>
      <w:r>
        <w:rPr>
          <w:spacing w:val="4"/>
        </w:rPr>
        <w:t xml:space="preserve"> </w:t>
      </w:r>
      <w:r>
        <w:rPr>
          <w:spacing w:val="-3"/>
        </w:rPr>
        <w:t>完，不用时须将容器盖盖紧。</w:t>
      </w:r>
    </w:p>
    <w:p w14:paraId="65CE336B">
      <w:pPr>
        <w:spacing w:before="284" w:line="182" w:lineRule="auto"/>
        <w:rPr>
          <w:rFonts w:ascii="Arial" w:hAnsi="Arial" w:eastAsia="Arial" w:cs="Arial"/>
          <w:sz w:val="16"/>
          <w:szCs w:val="16"/>
        </w:rPr>
        <w:sectPr>
          <w:pgSz w:w="7940" w:h="11230"/>
          <w:pgMar w:top="289" w:right="950" w:bottom="0" w:left="1100" w:header="0" w:footer="0" w:gutter="0"/>
          <w:cols w:space="720" w:num="1"/>
        </w:sectPr>
      </w:pPr>
    </w:p>
    <w:p w14:paraId="45E00CF5">
      <w:pPr>
        <w:spacing w:line="430" w:lineRule="auto"/>
        <w:rPr>
          <w:rFonts w:ascii="Arial"/>
          <w:sz w:val="21"/>
        </w:rPr>
      </w:pPr>
    </w:p>
    <w:p w14:paraId="77FE2148">
      <w:pPr>
        <w:spacing w:before="65" w:line="198" w:lineRule="auto"/>
        <w:rPr>
          <w:rFonts w:ascii="Arial" w:hAnsi="Arial" w:eastAsia="Arial" w:cs="Arial"/>
          <w:sz w:val="12"/>
          <w:szCs w:val="12"/>
        </w:rPr>
      </w:pPr>
    </w:p>
    <w:sectPr>
      <w:pgSz w:w="7940" w:h="11230"/>
      <w:pgMar w:top="289" w:right="950" w:bottom="0" w:left="11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78C7E2F"/>
    <w:rsid w:val="25D52E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楷体" w:hAnsi="楷体" w:eastAsia="楷体" w:cs="楷体"/>
      <w:sz w:val="16"/>
      <w:szCs w:val="16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527</Words>
  <Characters>637</Characters>
  <TotalTime>2</TotalTime>
  <ScaleCrop>false</ScaleCrop>
  <LinksUpToDate>false</LinksUpToDate>
  <CharactersWithSpaces>679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2025-03-24T11:24:00Z</dcterms:created>
  <dc:creator>HUAWEI</dc:creator>
  <cp:lastModifiedBy>曾艳红</cp:lastModifiedBy>
  <dcterms:modified xsi:type="dcterms:W3CDTF">2026-05-08T13:01:32Z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2025-03-24T11:24:41Z</vt:filetime>
  </property>
  <property fmtid="{D5CDD505-2E9C-101B-9397-08002B2CF9AE}" pid="4" name="UsrData">
    <vt:lpwstr>67e0d0761c4bf3001f4df32cwl</vt:lpwstr>
  </property>
  <property fmtid="{D5CDD505-2E9C-101B-9397-08002B2CF9AE}" pid="5" name="KSOTemplateDocerSaveRecord">
    <vt:lpwstr>eyJoZGlkIjoiOGI4NzI3NmNhOTQzMDJiYjE5MDVjNjBlZmZiYWFlMDAiLCJ1c2VySWQiOiIxNDY0NjA1NDU3In0=</vt:lpwstr>
  </property>
  <property fmtid="{D5CDD505-2E9C-101B-9397-08002B2CF9AE}" pid="6" name="KSOProductBuildVer">
    <vt:lpwstr>2052-12.1.0.25225</vt:lpwstr>
  </property>
  <property fmtid="{D5CDD505-2E9C-101B-9397-08002B2CF9AE}" pid="7" name="ICV">
    <vt:lpwstr>269EC760A8FD4752904039898DB6FD5B_13</vt:lpwstr>
  </property>
</Properties>
</file>