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78BCE">
      <w:pPr>
        <w:spacing w:line="819" w:lineRule="exact"/>
      </w:pPr>
      <w:r>
        <w:rPr>
          <w:position w:val="-16"/>
        </w:rPr>
        <w:drawing>
          <wp:inline distT="0" distB="0" distL="0" distR="0">
            <wp:extent cx="2508250" cy="5200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8304" cy="52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8A85E">
      <w:pPr>
        <w:spacing w:line="388" w:lineRule="auto"/>
        <w:rPr>
          <w:rFonts w:ascii="Arial"/>
          <w:sz w:val="21"/>
        </w:rPr>
      </w:pPr>
    </w:p>
    <w:p w14:paraId="1E37D792">
      <w:pPr>
        <w:pStyle w:val="2"/>
        <w:spacing w:before="117" w:line="219" w:lineRule="auto"/>
        <w:ind w:left="4265"/>
        <w:outlineLvl w:val="0"/>
        <w:rPr>
          <w:rFonts w:hint="default" w:ascii="Times New Roman" w:hAnsi="Times New Roman" w:eastAsia="宋体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P105增稠剂</w:t>
      </w:r>
    </w:p>
    <w:p w14:paraId="3A60F3F3">
      <w:pPr>
        <w:spacing w:before="12"/>
      </w:pPr>
    </w:p>
    <w:tbl>
      <w:tblPr>
        <w:tblStyle w:val="7"/>
        <w:tblW w:w="8282" w:type="dxa"/>
        <w:tblInd w:w="65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2"/>
        <w:gridCol w:w="4005"/>
        <w:gridCol w:w="2535"/>
      </w:tblGrid>
      <w:tr w14:paraId="772E17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42" w:type="dxa"/>
            <w:vAlign w:val="top"/>
          </w:tcPr>
          <w:p w14:paraId="771A07FD">
            <w:pPr>
              <w:pStyle w:val="8"/>
              <w:spacing w:line="220" w:lineRule="auto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主要成分</w:t>
            </w:r>
          </w:p>
        </w:tc>
        <w:tc>
          <w:tcPr>
            <w:tcW w:w="4005" w:type="dxa"/>
            <w:vAlign w:val="top"/>
          </w:tcPr>
          <w:p w14:paraId="7DC1E296">
            <w:pPr>
              <w:pStyle w:val="8"/>
              <w:spacing w:before="43" w:line="219" w:lineRule="auto"/>
              <w:ind w:left="633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聚丙烯酰胺</w:t>
            </w:r>
          </w:p>
        </w:tc>
        <w:tc>
          <w:tcPr>
            <w:tcW w:w="2535" w:type="dxa"/>
            <w:vAlign w:val="top"/>
          </w:tcPr>
          <w:p w14:paraId="79C468E7">
            <w:pPr>
              <w:rPr>
                <w:rFonts w:ascii="Arial"/>
                <w:sz w:val="21"/>
              </w:rPr>
            </w:pPr>
          </w:p>
        </w:tc>
      </w:tr>
      <w:tr w14:paraId="058D1B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742" w:type="dxa"/>
            <w:vAlign w:val="top"/>
          </w:tcPr>
          <w:p w14:paraId="7A97CA57">
            <w:pPr>
              <w:pStyle w:val="8"/>
              <w:spacing w:before="69" w:line="219" w:lineRule="auto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技术指标</w:t>
            </w:r>
          </w:p>
        </w:tc>
        <w:tc>
          <w:tcPr>
            <w:tcW w:w="4005" w:type="dxa"/>
            <w:vAlign w:val="top"/>
          </w:tcPr>
          <w:p w14:paraId="39D208BD">
            <w:pPr>
              <w:pStyle w:val="8"/>
              <w:spacing w:before="114" w:line="220" w:lineRule="auto"/>
              <w:ind w:left="633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外</w:t>
            </w:r>
            <w:r>
              <w:rPr>
                <w:spacing w:val="3"/>
                <w:sz w:val="28"/>
                <w:szCs w:val="28"/>
              </w:rPr>
              <w:t xml:space="preserve">  </w:t>
            </w:r>
            <w:r>
              <w:rPr>
                <w:spacing w:val="-9"/>
                <w:sz w:val="28"/>
                <w:szCs w:val="28"/>
              </w:rPr>
              <w:t>观</w:t>
            </w:r>
          </w:p>
          <w:p w14:paraId="3F3A088B">
            <w:pPr>
              <w:pStyle w:val="8"/>
              <w:spacing w:before="86" w:line="184" w:lineRule="auto"/>
              <w:ind w:left="633"/>
              <w:rPr>
                <w:sz w:val="28"/>
                <w:szCs w:val="28"/>
              </w:rPr>
            </w:pPr>
            <w:r>
              <w:rPr>
                <w:color w:val="404040"/>
                <w:spacing w:val="3"/>
                <w:sz w:val="28"/>
                <w:szCs w:val="28"/>
              </w:rPr>
              <w:t>离子性</w:t>
            </w:r>
          </w:p>
        </w:tc>
        <w:tc>
          <w:tcPr>
            <w:tcW w:w="2535" w:type="dxa"/>
            <w:vAlign w:val="top"/>
          </w:tcPr>
          <w:p w14:paraId="650CF98F">
            <w:pPr>
              <w:pStyle w:val="8"/>
              <w:spacing w:before="93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乳白色粘稠液体</w:t>
            </w:r>
          </w:p>
          <w:p w14:paraId="64DC6FB4">
            <w:pPr>
              <w:pStyle w:val="8"/>
              <w:spacing w:before="119" w:line="177" w:lineRule="auto"/>
              <w:ind w:left="588"/>
              <w:rPr>
                <w:sz w:val="28"/>
                <w:szCs w:val="28"/>
              </w:rPr>
            </w:pPr>
            <w:r>
              <w:rPr>
                <w:color w:val="506070"/>
                <w:sz w:val="28"/>
                <w:szCs w:val="28"/>
              </w:rPr>
              <w:t>阴</w:t>
            </w:r>
          </w:p>
        </w:tc>
      </w:tr>
    </w:tbl>
    <w:p w14:paraId="3F1E39BB">
      <w:pPr>
        <w:pStyle w:val="2"/>
        <w:spacing w:before="145" w:line="219" w:lineRule="auto"/>
        <w:ind w:left="654"/>
      </w:pPr>
      <w:r>
        <w:rPr>
          <w:b/>
          <w:bCs/>
        </w:rPr>
        <w:t>性能及特点</w:t>
      </w:r>
    </w:p>
    <w:p w14:paraId="3FCB7DFD">
      <w:pPr>
        <w:pStyle w:val="2"/>
        <w:spacing w:before="161" w:line="219" w:lineRule="auto"/>
        <w:ind w:left="650"/>
      </w:pPr>
      <w:r>
        <w:rPr>
          <w:spacing w:val="-2"/>
        </w:rPr>
        <w:t>1.   开糊速度快，增稠迅速。</w:t>
      </w:r>
    </w:p>
    <w:p w14:paraId="30AFDC61">
      <w:pPr>
        <w:pStyle w:val="2"/>
        <w:spacing w:before="186" w:line="219" w:lineRule="auto"/>
        <w:ind w:left="650"/>
      </w:pPr>
      <w:r>
        <w:rPr>
          <w:spacing w:val="1"/>
        </w:rPr>
        <w:t>2.</w:t>
      </w:r>
      <w:r>
        <w:rPr>
          <w:spacing w:val="52"/>
        </w:rPr>
        <w:t xml:space="preserve">  </w:t>
      </w:r>
      <w:r>
        <w:rPr>
          <w:spacing w:val="1"/>
        </w:rPr>
        <w:t>白浆粘度高，成糊率佳，良好的耐电解质性能。</w:t>
      </w:r>
    </w:p>
    <w:p w14:paraId="169510A6">
      <w:pPr>
        <w:pStyle w:val="2"/>
        <w:spacing w:before="190" w:line="219" w:lineRule="auto"/>
        <w:ind w:left="650"/>
      </w:pPr>
      <w:r>
        <w:rPr>
          <w:spacing w:val="-2"/>
        </w:rPr>
        <w:t>3.   色浆稳定，放置不霉变。</w:t>
      </w:r>
    </w:p>
    <w:p w14:paraId="0235FF20">
      <w:pPr>
        <w:pStyle w:val="2"/>
        <w:spacing w:before="188" w:line="219" w:lineRule="auto"/>
        <w:ind w:left="650"/>
      </w:pPr>
      <w:r>
        <w:rPr>
          <w:spacing w:val="-2"/>
        </w:rPr>
        <w:t>4.   得色量高且颜色鲜艳。</w:t>
      </w:r>
    </w:p>
    <w:p w14:paraId="40EBB84C">
      <w:pPr>
        <w:pStyle w:val="2"/>
        <w:spacing w:before="188" w:line="219" w:lineRule="auto"/>
        <w:ind w:left="650"/>
      </w:pPr>
      <w:r>
        <w:rPr>
          <w:rFonts w:ascii="Times New Roman" w:hAnsi="Times New Roman" w:eastAsia="Times New Roman" w:cs="Times New Roman"/>
          <w:spacing w:val="-8"/>
        </w:rPr>
        <w:t xml:space="preserve">5.       </w:t>
      </w:r>
      <w:r>
        <w:rPr>
          <w:spacing w:val="-8"/>
        </w:rPr>
        <w:t>环保，不含甲醛、</w:t>
      </w:r>
      <w:r>
        <w:rPr>
          <w:rFonts w:ascii="Times New Roman" w:hAnsi="Times New Roman" w:eastAsia="Times New Roman" w:cs="Times New Roman"/>
          <w:spacing w:val="-8"/>
        </w:rPr>
        <w:t>APEO</w:t>
      </w:r>
      <w:r>
        <w:rPr>
          <w:spacing w:val="-8"/>
        </w:rPr>
        <w:t>、煤油。</w:t>
      </w:r>
    </w:p>
    <w:p w14:paraId="0E833195">
      <w:pPr>
        <w:pStyle w:val="2"/>
        <w:spacing w:before="304" w:line="220" w:lineRule="auto"/>
        <w:ind w:left="654"/>
      </w:pPr>
      <w:r>
        <w:rPr>
          <w:b/>
          <w:bCs/>
          <w:spacing w:val="1"/>
        </w:rPr>
        <w:t>适用范围</w:t>
      </w:r>
    </w:p>
    <w:p w14:paraId="504DB83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1080" w:leftChars="0"/>
      </w:pPr>
    </w:p>
    <w:p w14:paraId="37B2A43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720" w:right="0"/>
        <w:rPr>
          <w:sz w:val="28"/>
          <w:szCs w:val="28"/>
        </w:rPr>
      </w:pPr>
      <w:r>
        <w:rPr>
          <w:rFonts w:ascii="Segoe UI" w:hAnsi="Segoe UI" w:eastAsia="Segoe UI" w:cs="Segoe UI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适用于膏霜、乳液等O/W体系，增强肤感。</w:t>
      </w:r>
    </w:p>
    <w:p w14:paraId="4D9AFAA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sz w:val="28"/>
          <w:szCs w:val="28"/>
        </w:rPr>
      </w:pPr>
    </w:p>
    <w:p w14:paraId="0C4F203C">
      <w:pPr>
        <w:pStyle w:val="2"/>
        <w:spacing w:before="1" w:line="219" w:lineRule="auto"/>
        <w:ind w:left="654"/>
      </w:pPr>
      <w:r>
        <w:rPr>
          <w:b/>
          <w:bCs/>
          <w:spacing w:val="-6"/>
        </w:rPr>
        <w:t>使用方法</w:t>
      </w:r>
    </w:p>
    <w:p w14:paraId="279E48A6">
      <w:pPr>
        <w:pStyle w:val="2"/>
        <w:spacing w:before="175" w:line="290" w:lineRule="auto"/>
        <w:ind w:left="654" w:right="1076" w:hanging="4"/>
      </w:pPr>
      <w:r>
        <w:rPr>
          <w:spacing w:val="-2"/>
        </w:rPr>
        <w:t xml:space="preserve">  使用前建议搅拌，具体工艺</w:t>
      </w:r>
      <w:r>
        <w:rPr>
          <w:spacing w:val="-3"/>
        </w:rPr>
        <w:t>请用户通过试样酌情调整。</w:t>
      </w:r>
      <w:r>
        <w:t xml:space="preserve"> </w:t>
      </w:r>
    </w:p>
    <w:p w14:paraId="0ABCF531">
      <w:pPr>
        <w:pStyle w:val="2"/>
        <w:spacing w:before="175" w:line="290" w:lineRule="auto"/>
        <w:ind w:left="654" w:right="1076" w:hanging="4"/>
      </w:pPr>
      <w:r>
        <w:rPr>
          <w:b/>
          <w:bCs/>
          <w:spacing w:val="-5"/>
        </w:rPr>
        <w:t>包装与贮存</w:t>
      </w:r>
    </w:p>
    <w:p w14:paraId="074FE9B1">
      <w:pPr>
        <w:pStyle w:val="2"/>
        <w:spacing w:before="293" w:line="337" w:lineRule="auto"/>
        <w:ind w:left="650" w:firstLine="529"/>
        <w:jc w:val="both"/>
      </w:pPr>
      <w:r>
        <w:rPr>
          <w:rFonts w:hint="eastAsia"/>
          <w:spacing w:val="5"/>
          <w:lang w:val="en-US" w:eastAsia="zh-CN"/>
        </w:rPr>
        <w:t>60</w:t>
      </w:r>
      <w:r>
        <w:rPr>
          <w:spacing w:val="5"/>
        </w:rPr>
        <w:t>千克塑料桶。本品储存过程中会出现分层现</w:t>
      </w:r>
      <w:r>
        <w:rPr>
          <w:spacing w:val="4"/>
        </w:rPr>
        <w:t>象，使用前请搅拌。在10</w:t>
      </w:r>
      <w:r>
        <w:t xml:space="preserve"> </w:t>
      </w:r>
      <w:r>
        <w:rPr>
          <w:spacing w:val="2"/>
        </w:rPr>
        <w:t>℃以下表观粘度增加，升温后可恢复流动性，并不影响应用效果；40℃以上高</w:t>
      </w:r>
      <w:r>
        <w:rPr>
          <w:spacing w:val="10"/>
        </w:rPr>
        <w:t xml:space="preserve"> </w:t>
      </w:r>
      <w:r>
        <w:rPr>
          <w:spacing w:val="-1"/>
        </w:rPr>
        <w:t>温贮存会加速分层。务请在仓储及运输时予以注意。常温下保质期6个月。</w:t>
      </w:r>
    </w:p>
    <w:sectPr>
      <w:pgSz w:w="11900" w:h="16830"/>
      <w:pgMar w:top="330" w:right="1165" w:bottom="0" w:left="4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438A59"/>
    <w:multiLevelType w:val="multilevel"/>
    <w:tmpl w:val="DB438A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2DC0FE6"/>
    <w:rsid w:val="769C5C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264</Words>
  <Characters>280</Characters>
  <TotalTime>0</TotalTime>
  <ScaleCrop>false</ScaleCrop>
  <LinksUpToDate>false</LinksUpToDate>
  <CharactersWithSpaces>305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2025-06-06T10:06:00Z</dcterms:created>
  <dc:creator>Lenovo</dc:creator>
  <cp:lastModifiedBy>曾艳红</cp:lastModifiedBy>
  <dcterms:modified xsi:type="dcterms:W3CDTF">2025-06-06T02:34:11Z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2025-06-06T10:06:28Z</vt:filetime>
  </property>
  <property fmtid="{D5CDD505-2E9C-101B-9397-08002B2CF9AE}" pid="4" name="UsrData">
    <vt:lpwstr>68424d22e5d315002067e645wl</vt:lpwstr>
  </property>
  <property fmtid="{D5CDD505-2E9C-101B-9397-08002B2CF9AE}" pid="5" name="KSOTemplateDocerSaveRecord">
    <vt:lpwstr>eyJoZGlkIjoiYzEwNTAzNjU4ZTkwZDg3ZjcwMzVkNmQ4NWNlNzE0MTMiLCJ1c2VySWQiOiIxNDY0NjA1NDU3In0=</vt:lpwstr>
  </property>
  <property fmtid="{D5CDD505-2E9C-101B-9397-08002B2CF9AE}" pid="6" name="KSOProductBuildVer">
    <vt:lpwstr>2052-12.1.0.21171</vt:lpwstr>
  </property>
  <property fmtid="{D5CDD505-2E9C-101B-9397-08002B2CF9AE}" pid="7" name="ICV">
    <vt:lpwstr>587C2854114749AC80432E302B8BB05C_12</vt:lpwstr>
  </property>
</Properties>
</file>